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35C63" w14:textId="77777777" w:rsidR="00E3316C" w:rsidRPr="00102618" w:rsidRDefault="00E3316C">
      <w:pPr>
        <w:spacing w:before="60" w:after="60"/>
        <w:rPr>
          <w:rFonts w:ascii="Garamond" w:hAnsi="Garamond"/>
          <w:sz w:val="24"/>
          <w:szCs w:val="24"/>
        </w:rPr>
      </w:pPr>
    </w:p>
    <w:p w14:paraId="73BC2278" w14:textId="77777777" w:rsidR="00E3316C" w:rsidRPr="00102618" w:rsidRDefault="00E3316C">
      <w:pPr>
        <w:spacing w:before="60" w:after="60"/>
        <w:rPr>
          <w:rFonts w:ascii="Garamond" w:hAnsi="Garamond"/>
          <w:sz w:val="24"/>
          <w:szCs w:val="24"/>
        </w:rPr>
      </w:pPr>
    </w:p>
    <w:p w14:paraId="13835400" w14:textId="77777777" w:rsidR="00E3316C" w:rsidRPr="00102618" w:rsidRDefault="00E3316C">
      <w:pPr>
        <w:spacing w:before="60" w:after="60"/>
        <w:rPr>
          <w:rFonts w:ascii="Garamond" w:hAnsi="Garamond"/>
          <w:sz w:val="24"/>
          <w:szCs w:val="24"/>
        </w:rPr>
      </w:pPr>
    </w:p>
    <w:p w14:paraId="303A47F6" w14:textId="77777777" w:rsidR="00E3316C" w:rsidRPr="00102618" w:rsidRDefault="00000000">
      <w:pPr>
        <w:shd w:val="clear" w:color="auto" w:fill="1F3864"/>
        <w:spacing w:after="240"/>
        <w:jc w:val="center"/>
        <w:rPr>
          <w:rFonts w:ascii="Garamond" w:hAnsi="Garamond"/>
          <w:sz w:val="40"/>
          <w:szCs w:val="40"/>
        </w:rPr>
      </w:pPr>
      <w:r w:rsidRPr="00102618">
        <w:rPr>
          <w:rFonts w:ascii="Garamond" w:hAnsi="Garamond"/>
          <w:b/>
          <w:bCs/>
          <w:color w:val="FFFFFF"/>
          <w:sz w:val="40"/>
          <w:szCs w:val="40"/>
        </w:rPr>
        <w:t>CIAS PRACTITIONER TOOLKIT</w:t>
      </w:r>
    </w:p>
    <w:p w14:paraId="46E7788A" w14:textId="77777777" w:rsidR="00E3316C" w:rsidRPr="00102618" w:rsidRDefault="00000000">
      <w:pPr>
        <w:spacing w:before="240" w:after="120"/>
        <w:jc w:val="center"/>
        <w:rPr>
          <w:rFonts w:ascii="Garamond" w:hAnsi="Garamond"/>
          <w:sz w:val="30"/>
          <w:szCs w:val="30"/>
        </w:rPr>
      </w:pPr>
      <w:r w:rsidRPr="00102618">
        <w:rPr>
          <w:rFonts w:ascii="Garamond" w:hAnsi="Garamond"/>
          <w:sz w:val="30"/>
          <w:szCs w:val="30"/>
        </w:rPr>
        <w:t>Contextualized Interviewing and Asylum Support</w:t>
      </w:r>
    </w:p>
    <w:p w14:paraId="39082D9C" w14:textId="77777777" w:rsidR="00E3316C" w:rsidRPr="00102618" w:rsidRDefault="00000000">
      <w:pPr>
        <w:spacing w:after="240"/>
        <w:jc w:val="center"/>
        <w:rPr>
          <w:rFonts w:ascii="Garamond" w:hAnsi="Garamond"/>
          <w:sz w:val="30"/>
          <w:szCs w:val="30"/>
        </w:rPr>
      </w:pPr>
      <w:r w:rsidRPr="00102618">
        <w:rPr>
          <w:rFonts w:ascii="Garamond" w:hAnsi="Garamond"/>
          <w:sz w:val="30"/>
          <w:szCs w:val="30"/>
        </w:rPr>
        <w:t>Structured tools for asylum interviewing, documentation, credibility-sensitive practice, and case workflow</w:t>
      </w:r>
    </w:p>
    <w:p w14:paraId="09CA8D98" w14:textId="77777777" w:rsidR="00E3316C" w:rsidRPr="00102618" w:rsidRDefault="00E3316C">
      <w:pPr>
        <w:spacing w:before="60" w:after="60"/>
        <w:rPr>
          <w:rFonts w:ascii="Garamond" w:hAnsi="Garamond"/>
          <w:sz w:val="24"/>
          <w:szCs w:val="24"/>
        </w:rPr>
      </w:pPr>
    </w:p>
    <w:p w14:paraId="3AA6C47B" w14:textId="77777777" w:rsidR="00E3316C" w:rsidRPr="00102618" w:rsidRDefault="00000000">
      <w:pPr>
        <w:spacing w:after="60"/>
        <w:jc w:val="center"/>
        <w:rPr>
          <w:rFonts w:ascii="Garamond" w:hAnsi="Garamond"/>
          <w:sz w:val="30"/>
          <w:szCs w:val="30"/>
        </w:rPr>
      </w:pPr>
      <w:r w:rsidRPr="00102618">
        <w:rPr>
          <w:rFonts w:ascii="Garamond" w:hAnsi="Garamond"/>
          <w:sz w:val="30"/>
          <w:szCs w:val="30"/>
        </w:rPr>
        <w:t>Prepared by Dr. Venera Bekteshi</w:t>
      </w:r>
    </w:p>
    <w:p w14:paraId="2ACC685E" w14:textId="77777777" w:rsidR="00E3316C" w:rsidRPr="00102618" w:rsidRDefault="00000000">
      <w:pPr>
        <w:spacing w:after="60"/>
        <w:jc w:val="center"/>
        <w:rPr>
          <w:rFonts w:ascii="Garamond" w:hAnsi="Garamond"/>
          <w:sz w:val="24"/>
          <w:szCs w:val="24"/>
        </w:rPr>
      </w:pPr>
      <w:r w:rsidRPr="00102618">
        <w:rPr>
          <w:rFonts w:ascii="Garamond" w:hAnsi="Garamond"/>
          <w:sz w:val="24"/>
          <w:szCs w:val="24"/>
        </w:rPr>
        <w:t>[Acknowledgments — forthcoming]</w:t>
      </w:r>
    </w:p>
    <w:p w14:paraId="7ECCB523" w14:textId="77777777" w:rsidR="00E3316C" w:rsidRPr="00102618" w:rsidRDefault="00000000">
      <w:pPr>
        <w:spacing w:after="60"/>
        <w:jc w:val="center"/>
        <w:rPr>
          <w:rFonts w:ascii="Garamond" w:hAnsi="Garamond"/>
          <w:sz w:val="24"/>
          <w:szCs w:val="24"/>
        </w:rPr>
      </w:pPr>
      <w:r w:rsidRPr="00102618">
        <w:rPr>
          <w:rFonts w:ascii="Garamond" w:hAnsi="Garamond"/>
          <w:sz w:val="24"/>
          <w:szCs w:val="24"/>
        </w:rPr>
        <w:t>Draft for practitioner review and pilot refinement</w:t>
      </w:r>
    </w:p>
    <w:p w14:paraId="0E4DFB80" w14:textId="77777777" w:rsidR="00E3316C" w:rsidRPr="00102618" w:rsidRDefault="00000000">
      <w:pPr>
        <w:jc w:val="center"/>
        <w:rPr>
          <w:rFonts w:ascii="Garamond" w:hAnsi="Garamond"/>
          <w:sz w:val="24"/>
          <w:szCs w:val="24"/>
        </w:rPr>
      </w:pPr>
      <w:r w:rsidRPr="00102618">
        <w:rPr>
          <w:rFonts w:ascii="Garamond" w:hAnsi="Garamond"/>
          <w:sz w:val="24"/>
          <w:szCs w:val="24"/>
        </w:rPr>
        <w:t>April 2026</w:t>
      </w:r>
    </w:p>
    <w:p w14:paraId="60B613AC" w14:textId="77777777" w:rsidR="00E3316C" w:rsidRPr="00102618" w:rsidRDefault="00E3316C">
      <w:pPr>
        <w:spacing w:before="60" w:after="60"/>
        <w:rPr>
          <w:rFonts w:ascii="Garamond" w:hAnsi="Garamond"/>
          <w:sz w:val="24"/>
          <w:szCs w:val="24"/>
        </w:rPr>
      </w:pPr>
    </w:p>
    <w:p w14:paraId="441D93D6" w14:textId="77777777" w:rsidR="00E3316C" w:rsidRPr="00102618" w:rsidRDefault="00E3316C">
      <w:pPr>
        <w:spacing w:before="60" w:after="60"/>
        <w:rPr>
          <w:rFonts w:ascii="Garamond" w:hAnsi="Garamond"/>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3316C" w:rsidRPr="00102618" w14:paraId="23C827C9" w14:textId="77777777">
        <w:tc>
          <w:tcPr>
            <w:tcW w:w="9360" w:type="dxa"/>
            <w:tcBorders>
              <w:top w:val="single" w:sz="8" w:space="0" w:color="1F3864"/>
              <w:left w:val="single" w:sz="8" w:space="0" w:color="1F3864"/>
              <w:bottom w:val="single" w:sz="8" w:space="0" w:color="1F3864"/>
              <w:right w:val="single" w:sz="8" w:space="0" w:color="1F3864"/>
            </w:tcBorders>
            <w:shd w:val="clear" w:color="auto" w:fill="D6E4F0"/>
            <w:tcMar>
              <w:top w:w="120" w:type="dxa"/>
              <w:left w:w="160" w:type="dxa"/>
              <w:bottom w:w="120" w:type="dxa"/>
              <w:right w:w="160" w:type="dxa"/>
            </w:tcMar>
          </w:tcPr>
          <w:p w14:paraId="3DBD573A" w14:textId="77777777" w:rsidR="00E3316C" w:rsidRPr="00102618" w:rsidRDefault="00000000">
            <w:pPr>
              <w:spacing w:after="120"/>
              <w:rPr>
                <w:rFonts w:ascii="Garamond" w:hAnsi="Garamond"/>
                <w:sz w:val="24"/>
                <w:szCs w:val="24"/>
              </w:rPr>
            </w:pPr>
            <w:r w:rsidRPr="00102618">
              <w:rPr>
                <w:rFonts w:ascii="Garamond" w:hAnsi="Garamond"/>
                <w:b/>
                <w:bCs/>
                <w:sz w:val="24"/>
                <w:szCs w:val="24"/>
              </w:rPr>
              <w:t xml:space="preserve">Important Note.  </w:t>
            </w:r>
            <w:r w:rsidRPr="00102618">
              <w:rPr>
                <w:rFonts w:ascii="Garamond" w:hAnsi="Garamond"/>
                <w:sz w:val="24"/>
                <w:szCs w:val="24"/>
              </w:rPr>
              <w:t>This toolkit is a structured practice aid for attorneys, accredited representatives, social workers, and allied practitioners. It is not legal advice, not clinical advice, and not a court-facing form. The toolkit is designed to strengthen upstream interviewing, documentation, and narrative development across the life of an asylum case by helping practitioners capture the cultural, developmental, economic, and U.S. climate context that shapes how experiences are remembered, disclosed, and documented. In doing so, it supports more efficient and coordinated case preparation, produces clearer and more legally usable records, and improves the accuracy of credibility-sensitive analysis (including nexus, delay, relocation, and future fear), while also reducing the likelihood that trauma-, language-, or context-mediated patterns are mistaken for deception.</w:t>
            </w:r>
          </w:p>
        </w:tc>
      </w:tr>
    </w:tbl>
    <w:p w14:paraId="50AB0A15" w14:textId="77777777" w:rsidR="00E3316C" w:rsidRPr="00102618" w:rsidRDefault="00000000">
      <w:pPr>
        <w:rPr>
          <w:rFonts w:ascii="Garamond" w:hAnsi="Garamond"/>
          <w:sz w:val="24"/>
          <w:szCs w:val="24"/>
        </w:rPr>
      </w:pPr>
      <w:r w:rsidRPr="00102618">
        <w:rPr>
          <w:rFonts w:ascii="Garamond" w:hAnsi="Garamond"/>
          <w:sz w:val="24"/>
          <w:szCs w:val="24"/>
        </w:rPr>
        <w:br w:type="page"/>
      </w:r>
    </w:p>
    <w:p w14:paraId="380B5170" w14:textId="77777777" w:rsidR="00E374A3" w:rsidRPr="00E40C5D" w:rsidRDefault="00E374A3" w:rsidP="00E374A3">
      <w:pPr>
        <w:pStyle w:val="Heading3"/>
        <w:rPr>
          <w:rFonts w:ascii="Garamond" w:hAnsi="Garamond"/>
          <w:color w:val="000000" w:themeColor="text1"/>
          <w:sz w:val="24"/>
          <w:szCs w:val="24"/>
        </w:rPr>
      </w:pPr>
      <w:r w:rsidRPr="00E40C5D">
        <w:rPr>
          <w:rFonts w:ascii="Garamond" w:hAnsi="Garamond"/>
          <w:color w:val="000000" w:themeColor="text1"/>
          <w:sz w:val="24"/>
          <w:szCs w:val="24"/>
        </w:rPr>
        <w:lastRenderedPageBreak/>
        <w:t>What the Current Draft Accomplishes</w:t>
      </w:r>
    </w:p>
    <w:p w14:paraId="25401034" w14:textId="1EEF5FAD" w:rsidR="00E374A3" w:rsidRPr="00E40C5D" w:rsidRDefault="00E374A3" w:rsidP="00E374A3">
      <w:pPr>
        <w:spacing w:after="120"/>
        <w:rPr>
          <w:rFonts w:ascii="Garamond" w:hAnsi="Garamond"/>
          <w:color w:val="000000" w:themeColor="text1"/>
          <w:sz w:val="24"/>
          <w:szCs w:val="24"/>
        </w:rPr>
      </w:pPr>
      <w:r w:rsidRPr="00E40C5D">
        <w:rPr>
          <w:rFonts w:ascii="Garamond" w:hAnsi="Garamond"/>
          <w:color w:val="000000" w:themeColor="text1"/>
          <w:sz w:val="24"/>
          <w:szCs w:val="24"/>
        </w:rPr>
        <w:t>The current draft of the CIAS Practitioner Toolkit represents a</w:t>
      </w:r>
      <w:r w:rsidR="00102618" w:rsidRPr="00E40C5D">
        <w:rPr>
          <w:rFonts w:ascii="Garamond" w:hAnsi="Garamond"/>
          <w:color w:val="000000" w:themeColor="text1"/>
          <w:sz w:val="24"/>
          <w:szCs w:val="24"/>
        </w:rPr>
        <w:t xml:space="preserve">n </w:t>
      </w:r>
      <w:r w:rsidRPr="00E40C5D">
        <w:rPr>
          <w:rFonts w:ascii="Garamond" w:hAnsi="Garamond"/>
          <w:color w:val="000000" w:themeColor="text1"/>
          <w:sz w:val="24"/>
          <w:szCs w:val="24"/>
        </w:rPr>
        <w:t>integration of three bodies of work: a review of literature on trauma and autobiographical memory, delayed disclosure, acculturative stress, structural vulnerability, language-dependent recall, and interpreter-mediated distortion; a systematic analysis of existing asylum-practice toolkits including those produced by the ABA/HIAS, Asylum Access, and USCRI; and two rounds of feedback collected from practicing immigration attorneys, social work professionals, and student reviewers through workshops and consultations. The result is a modular, four-part toolkit that moves practitioners from intake through case closure using a CIAS-informed framework grounded in published research.</w:t>
      </w:r>
    </w:p>
    <w:p w14:paraId="79CA21E2" w14:textId="0A61DBEF" w:rsidR="00E374A3" w:rsidRPr="00E40C5D" w:rsidRDefault="00E374A3" w:rsidP="00102618">
      <w:pPr>
        <w:spacing w:after="120"/>
        <w:rPr>
          <w:rFonts w:ascii="Garamond" w:hAnsi="Garamond"/>
          <w:color w:val="000000" w:themeColor="text1"/>
          <w:sz w:val="24"/>
          <w:szCs w:val="24"/>
        </w:rPr>
      </w:pPr>
      <w:r w:rsidRPr="00E40C5D">
        <w:rPr>
          <w:rFonts w:ascii="Garamond" w:hAnsi="Garamond"/>
          <w:color w:val="000000" w:themeColor="text1"/>
          <w:sz w:val="24"/>
          <w:szCs w:val="24"/>
        </w:rPr>
        <w:t xml:space="preserve">The toolkit currently provides: a structured intake triage tool; a six-session narrative development roadmap with session-specific guiding questions; a five-stage prompt bank organized by interview phase; a barriers and delayed-disclosure documentation framework with developmental modifiers; a bridge-script and meaning-check library; a declaration review toolkit with a core-versus-peripheral discrepancy matrix; an evidence and exhibit organizer; an interpreter observation log; a science-brief bank with attorney-ready citations; a case closure checklist; and seven client-facing visual elicitation supports. </w:t>
      </w:r>
    </w:p>
    <w:p w14:paraId="5A82D30F" w14:textId="72D61FAA" w:rsidR="00E374A3" w:rsidRPr="00E40C5D" w:rsidRDefault="00E374A3" w:rsidP="00E374A3">
      <w:pPr>
        <w:pStyle w:val="Heading3"/>
        <w:rPr>
          <w:rFonts w:ascii="Garamond" w:hAnsi="Garamond"/>
          <w:color w:val="000000" w:themeColor="text1"/>
          <w:sz w:val="24"/>
          <w:szCs w:val="24"/>
        </w:rPr>
      </w:pPr>
      <w:r w:rsidRPr="00E40C5D">
        <w:rPr>
          <w:rFonts w:ascii="Garamond" w:hAnsi="Garamond"/>
          <w:color w:val="000000" w:themeColor="text1"/>
          <w:sz w:val="24"/>
          <w:szCs w:val="24"/>
        </w:rPr>
        <w:t>Next steps:</w:t>
      </w:r>
    </w:p>
    <w:p w14:paraId="67E7DF4E" w14:textId="0E343A57" w:rsidR="00E374A3" w:rsidRPr="00E40C5D" w:rsidRDefault="00E374A3" w:rsidP="00E374A3">
      <w:pPr>
        <w:spacing w:after="120"/>
        <w:rPr>
          <w:rFonts w:ascii="Garamond" w:hAnsi="Garamond"/>
          <w:color w:val="000000" w:themeColor="text1"/>
          <w:sz w:val="24"/>
          <w:szCs w:val="24"/>
        </w:rPr>
      </w:pPr>
      <w:r w:rsidRPr="00E40C5D">
        <w:rPr>
          <w:rFonts w:ascii="Garamond" w:hAnsi="Garamond"/>
          <w:color w:val="000000" w:themeColor="text1"/>
          <w:sz w:val="24"/>
          <w:szCs w:val="24"/>
        </w:rPr>
        <w:t xml:space="preserve">The current draft reflects practitioner workshop feedback and student review rather than systematic data collection from attorneys and social workers in live practice </w:t>
      </w:r>
      <w:proofErr w:type="gramStart"/>
      <w:r w:rsidRPr="00E40C5D">
        <w:rPr>
          <w:rFonts w:ascii="Garamond" w:hAnsi="Garamond"/>
          <w:color w:val="000000" w:themeColor="text1"/>
          <w:sz w:val="24"/>
          <w:szCs w:val="24"/>
        </w:rPr>
        <w:t>settings..</w:t>
      </w:r>
      <w:proofErr w:type="gramEnd"/>
      <w:r w:rsidRPr="00E40C5D">
        <w:rPr>
          <w:rFonts w:ascii="Garamond" w:hAnsi="Garamond"/>
          <w:color w:val="000000" w:themeColor="text1"/>
          <w:sz w:val="24"/>
          <w:szCs w:val="24"/>
        </w:rPr>
        <w:t xml:space="preserve"> Workshop feedback tends to be general, impressionistic, and shaped by the group dynamic; individual interviews allow practitioners to identify specific workflow problems, usability failures, and contextual gaps that group settings rarely surface.</w:t>
      </w:r>
    </w:p>
    <w:p w14:paraId="09425BE1" w14:textId="4FDD3AD8" w:rsidR="00E374A3" w:rsidRPr="00E40C5D" w:rsidRDefault="00E374A3" w:rsidP="00E374A3">
      <w:pPr>
        <w:spacing w:after="120"/>
        <w:rPr>
          <w:rFonts w:ascii="Garamond" w:hAnsi="Garamond"/>
          <w:color w:val="000000" w:themeColor="text1"/>
          <w:sz w:val="24"/>
          <w:szCs w:val="24"/>
        </w:rPr>
      </w:pPr>
      <w:r w:rsidRPr="00E40C5D">
        <w:rPr>
          <w:rFonts w:ascii="Garamond" w:hAnsi="Garamond"/>
          <w:color w:val="000000" w:themeColor="text1"/>
          <w:sz w:val="24"/>
          <w:szCs w:val="24"/>
        </w:rPr>
        <w:t>Structured interviews with immigration attorneys and social workers will address four specific toolkit development needs:</w:t>
      </w:r>
    </w:p>
    <w:p w14:paraId="51CB84C7" w14:textId="77777777" w:rsidR="00E374A3" w:rsidRPr="00E40C5D" w:rsidRDefault="00E374A3" w:rsidP="00E374A3">
      <w:pPr>
        <w:spacing w:after="120"/>
        <w:rPr>
          <w:rFonts w:ascii="Garamond" w:hAnsi="Garamond"/>
          <w:color w:val="000000" w:themeColor="text1"/>
          <w:sz w:val="24"/>
          <w:szCs w:val="24"/>
        </w:rPr>
      </w:pPr>
      <w:r w:rsidRPr="00E40C5D">
        <w:rPr>
          <w:rFonts w:ascii="Garamond" w:hAnsi="Garamond"/>
          <w:b/>
          <w:bCs/>
          <w:color w:val="000000" w:themeColor="text1"/>
          <w:sz w:val="24"/>
          <w:szCs w:val="24"/>
        </w:rPr>
        <w:t xml:space="preserve">First, workflow feasibility testing.  </w:t>
      </w:r>
      <w:r w:rsidRPr="00E40C5D">
        <w:rPr>
          <w:rFonts w:ascii="Garamond" w:hAnsi="Garamond"/>
          <w:color w:val="000000" w:themeColor="text1"/>
          <w:sz w:val="24"/>
          <w:szCs w:val="24"/>
        </w:rPr>
        <w:t xml:space="preserve">The toolkit assumes a six-session narrative development model and a 12-week filing timeline. These structures are adapted from attorney workflow models, but it is not known whether they reflect the actual session patterns of attorneys in legal aid, private practice, or pro bono settings, or whether social workers in these environments have access to the number of </w:t>
      </w:r>
      <w:proofErr w:type="gramStart"/>
      <w:r w:rsidRPr="00E40C5D">
        <w:rPr>
          <w:rFonts w:ascii="Garamond" w:hAnsi="Garamond"/>
          <w:color w:val="000000" w:themeColor="text1"/>
          <w:sz w:val="24"/>
          <w:szCs w:val="24"/>
        </w:rPr>
        <w:t>client</w:t>
      </w:r>
      <w:proofErr w:type="gramEnd"/>
      <w:r w:rsidRPr="00E40C5D">
        <w:rPr>
          <w:rFonts w:ascii="Garamond" w:hAnsi="Garamond"/>
          <w:color w:val="000000" w:themeColor="text1"/>
          <w:sz w:val="24"/>
          <w:szCs w:val="24"/>
        </w:rPr>
        <w:t xml:space="preserve"> contacts the roadmap presupposes. Interviews will test whether the sequencing is realistic across practice types.</w:t>
      </w:r>
    </w:p>
    <w:p w14:paraId="07B1AF6C" w14:textId="77777777" w:rsidR="00E374A3" w:rsidRPr="00E40C5D" w:rsidRDefault="00E374A3" w:rsidP="00E374A3">
      <w:pPr>
        <w:spacing w:after="120"/>
        <w:rPr>
          <w:rFonts w:ascii="Garamond" w:hAnsi="Garamond"/>
          <w:color w:val="000000" w:themeColor="text1"/>
          <w:sz w:val="24"/>
          <w:szCs w:val="24"/>
        </w:rPr>
      </w:pPr>
      <w:r w:rsidRPr="00E40C5D">
        <w:rPr>
          <w:rFonts w:ascii="Garamond" w:hAnsi="Garamond"/>
          <w:b/>
          <w:bCs/>
          <w:color w:val="000000" w:themeColor="text1"/>
          <w:sz w:val="24"/>
          <w:szCs w:val="24"/>
        </w:rPr>
        <w:t xml:space="preserve">Second, discipline-specific usability.  </w:t>
      </w:r>
      <w:r w:rsidRPr="00E40C5D">
        <w:rPr>
          <w:rFonts w:ascii="Garamond" w:hAnsi="Garamond"/>
          <w:color w:val="000000" w:themeColor="text1"/>
          <w:sz w:val="24"/>
          <w:szCs w:val="24"/>
        </w:rPr>
        <w:t>Attorneys and social workers use different documentation standards, operate under different ethical obligations, and produce different work products. Interviews will identify which sections of the toolkit are immediately usable by each discipline, which require modification, and which may require entirely different versions for each user group.</w:t>
      </w:r>
    </w:p>
    <w:p w14:paraId="46A36FA4" w14:textId="77777777" w:rsidR="00E374A3" w:rsidRPr="00E40C5D" w:rsidRDefault="00E374A3" w:rsidP="00E374A3">
      <w:pPr>
        <w:spacing w:after="120"/>
        <w:rPr>
          <w:rFonts w:ascii="Garamond" w:hAnsi="Garamond"/>
          <w:color w:val="000000" w:themeColor="text1"/>
          <w:sz w:val="24"/>
          <w:szCs w:val="24"/>
        </w:rPr>
      </w:pPr>
      <w:r w:rsidRPr="00E40C5D">
        <w:rPr>
          <w:rFonts w:ascii="Garamond" w:hAnsi="Garamond"/>
          <w:b/>
          <w:bCs/>
          <w:color w:val="000000" w:themeColor="text1"/>
          <w:sz w:val="24"/>
          <w:szCs w:val="24"/>
        </w:rPr>
        <w:t xml:space="preserve">Third, credibility-sensitive practice gaps.  </w:t>
      </w:r>
      <w:r w:rsidRPr="00E40C5D">
        <w:rPr>
          <w:rFonts w:ascii="Garamond" w:hAnsi="Garamond"/>
          <w:color w:val="000000" w:themeColor="text1"/>
          <w:sz w:val="24"/>
          <w:szCs w:val="24"/>
        </w:rPr>
        <w:t xml:space="preserve">The toolkit addresses credibility issues — delayed disclosure, chronology gaps, interpreter distortion, developmental fragmentation — primarily through a trauma and memory lens derived from the research literature. Interviews will test whether this lens matches how attorneys and social workers </w:t>
      </w:r>
      <w:proofErr w:type="gramStart"/>
      <w:r w:rsidRPr="00E40C5D">
        <w:rPr>
          <w:rFonts w:ascii="Garamond" w:hAnsi="Garamond"/>
          <w:color w:val="000000" w:themeColor="text1"/>
          <w:sz w:val="24"/>
          <w:szCs w:val="24"/>
        </w:rPr>
        <w:t>actually encounter</w:t>
      </w:r>
      <w:proofErr w:type="gramEnd"/>
      <w:r w:rsidRPr="00E40C5D">
        <w:rPr>
          <w:rFonts w:ascii="Garamond" w:hAnsi="Garamond"/>
          <w:color w:val="000000" w:themeColor="text1"/>
          <w:sz w:val="24"/>
          <w:szCs w:val="24"/>
        </w:rPr>
        <w:t xml:space="preserve"> and interpret these problems in practice, and whether the toolkit's tools for documenting and explaining them are legally sufficient and professionally defensible.</w:t>
      </w:r>
    </w:p>
    <w:p w14:paraId="06FEC345" w14:textId="77777777" w:rsidR="00E374A3" w:rsidRPr="00E40C5D" w:rsidRDefault="00E374A3" w:rsidP="00E374A3">
      <w:pPr>
        <w:spacing w:after="120"/>
        <w:rPr>
          <w:rFonts w:ascii="Garamond" w:hAnsi="Garamond"/>
          <w:color w:val="000000" w:themeColor="text1"/>
          <w:sz w:val="24"/>
          <w:szCs w:val="24"/>
        </w:rPr>
      </w:pPr>
      <w:r w:rsidRPr="00E40C5D">
        <w:rPr>
          <w:rFonts w:ascii="Garamond" w:hAnsi="Garamond"/>
          <w:b/>
          <w:bCs/>
          <w:color w:val="000000" w:themeColor="text1"/>
          <w:sz w:val="24"/>
          <w:szCs w:val="24"/>
        </w:rPr>
        <w:t xml:space="preserve">Fourth, missing content identification.  </w:t>
      </w:r>
      <w:r w:rsidRPr="00E40C5D">
        <w:rPr>
          <w:rFonts w:ascii="Garamond" w:hAnsi="Garamond"/>
          <w:color w:val="000000" w:themeColor="text1"/>
          <w:sz w:val="24"/>
          <w:szCs w:val="24"/>
        </w:rPr>
        <w:t xml:space="preserve">Practitioners in live settings routinely encounter problems that neither the literature nor workshop feedback surfaces — particular client populations, jurisdictional practices, documentation formats, fee structures, or institutional constraints that create </w:t>
      </w:r>
      <w:r w:rsidRPr="00E40C5D">
        <w:rPr>
          <w:rFonts w:ascii="Garamond" w:hAnsi="Garamond"/>
          <w:color w:val="000000" w:themeColor="text1"/>
          <w:sz w:val="24"/>
          <w:szCs w:val="24"/>
        </w:rPr>
        <w:lastRenderedPageBreak/>
        <w:t>gaps the toolkit does not currently address. Interviews will systematically surface these gaps before the toolkit is finalized.</w:t>
      </w:r>
    </w:p>
    <w:p w14:paraId="4EC800C9" w14:textId="77777777" w:rsidR="00E374A3" w:rsidRPr="00E40C5D" w:rsidRDefault="00E374A3">
      <w:pPr>
        <w:rPr>
          <w:rFonts w:ascii="Garamond" w:hAnsi="Garamond"/>
          <w:b/>
          <w:bCs/>
          <w:color w:val="000000" w:themeColor="text1"/>
          <w:sz w:val="24"/>
          <w:szCs w:val="24"/>
        </w:rPr>
      </w:pPr>
      <w:r w:rsidRPr="00E40C5D">
        <w:rPr>
          <w:rFonts w:ascii="Garamond" w:hAnsi="Garamond"/>
          <w:color w:val="000000" w:themeColor="text1"/>
          <w:sz w:val="24"/>
          <w:szCs w:val="24"/>
        </w:rPr>
        <w:br w:type="page"/>
      </w:r>
    </w:p>
    <w:p w14:paraId="4CAEAD15" w14:textId="03F7A6D6" w:rsidR="00E3316C" w:rsidRPr="00E40C5D" w:rsidRDefault="00000000">
      <w:pPr>
        <w:pStyle w:val="Heading2"/>
        <w:pBdr>
          <w:bottom w:val="single" w:sz="6" w:space="1" w:color="2E75B6"/>
        </w:pBdr>
        <w:rPr>
          <w:rFonts w:ascii="Garamond" w:hAnsi="Garamond"/>
          <w:color w:val="000000" w:themeColor="text1"/>
          <w:sz w:val="24"/>
          <w:szCs w:val="24"/>
        </w:rPr>
      </w:pPr>
      <w:r w:rsidRPr="00E40C5D">
        <w:rPr>
          <w:rFonts w:ascii="Garamond" w:hAnsi="Garamond"/>
          <w:color w:val="000000" w:themeColor="text1"/>
          <w:sz w:val="24"/>
          <w:szCs w:val="24"/>
        </w:rPr>
        <w:lastRenderedPageBreak/>
        <w:t>Table of Contents</w:t>
      </w:r>
    </w:p>
    <w:p w14:paraId="6432D638" w14:textId="77777777" w:rsidR="00E3316C" w:rsidRPr="00E40C5D" w:rsidRDefault="00E3316C">
      <w:pPr>
        <w:spacing w:before="60" w:after="60"/>
        <w:rPr>
          <w:rFonts w:ascii="Garamond" w:hAnsi="Garamond"/>
          <w:color w:val="000000" w:themeColor="text1"/>
          <w:sz w:val="24"/>
          <w:szCs w:val="24"/>
        </w:rPr>
      </w:pPr>
    </w:p>
    <w:p w14:paraId="0D510926" w14:textId="77777777" w:rsidR="00E3316C" w:rsidRPr="00E40C5D" w:rsidRDefault="00000000">
      <w:pPr>
        <w:spacing w:after="60"/>
        <w:rPr>
          <w:rFonts w:ascii="Garamond" w:hAnsi="Garamond"/>
          <w:color w:val="000000" w:themeColor="text1"/>
          <w:sz w:val="24"/>
          <w:szCs w:val="24"/>
        </w:rPr>
      </w:pPr>
      <w:r w:rsidRPr="00E40C5D">
        <w:rPr>
          <w:rFonts w:ascii="Garamond" w:hAnsi="Garamond"/>
          <w:b/>
          <w:bCs/>
          <w:color w:val="000000" w:themeColor="text1"/>
          <w:sz w:val="24"/>
          <w:szCs w:val="24"/>
        </w:rPr>
        <w:t>PART I: SCHOLARLY FOUNDATIONS</w:t>
      </w:r>
    </w:p>
    <w:p w14:paraId="78D8B25F" w14:textId="77777777" w:rsidR="00E3316C" w:rsidRPr="00E40C5D" w:rsidRDefault="00000000">
      <w:pPr>
        <w:spacing w:after="60"/>
        <w:ind w:left="360"/>
        <w:rPr>
          <w:rFonts w:ascii="Garamond" w:hAnsi="Garamond"/>
          <w:color w:val="000000" w:themeColor="text1"/>
          <w:sz w:val="24"/>
          <w:szCs w:val="24"/>
        </w:rPr>
      </w:pPr>
      <w:r w:rsidRPr="00E40C5D">
        <w:rPr>
          <w:rFonts w:ascii="Garamond" w:hAnsi="Garamond"/>
          <w:b/>
          <w:bCs/>
          <w:color w:val="000000" w:themeColor="text1"/>
          <w:sz w:val="24"/>
          <w:szCs w:val="24"/>
        </w:rPr>
        <w:t xml:space="preserve">Section 1.  </w:t>
      </w:r>
      <w:r w:rsidRPr="00E40C5D">
        <w:rPr>
          <w:rFonts w:ascii="Garamond" w:hAnsi="Garamond"/>
          <w:color w:val="000000" w:themeColor="text1"/>
          <w:sz w:val="24"/>
          <w:szCs w:val="24"/>
        </w:rPr>
        <w:t>Literature Review: From Narrative Extraction to Contextual Interpretation</w:t>
      </w:r>
    </w:p>
    <w:p w14:paraId="2C3FCFDD" w14:textId="77777777" w:rsidR="00E3316C" w:rsidRPr="00E40C5D" w:rsidRDefault="00000000">
      <w:pPr>
        <w:spacing w:after="60"/>
        <w:ind w:left="360"/>
        <w:rPr>
          <w:rFonts w:ascii="Garamond" w:hAnsi="Garamond"/>
          <w:color w:val="000000" w:themeColor="text1"/>
          <w:sz w:val="24"/>
          <w:szCs w:val="24"/>
        </w:rPr>
      </w:pPr>
      <w:r w:rsidRPr="00E40C5D">
        <w:rPr>
          <w:rFonts w:ascii="Garamond" w:hAnsi="Garamond"/>
          <w:b/>
          <w:bCs/>
          <w:color w:val="000000" w:themeColor="text1"/>
          <w:sz w:val="24"/>
          <w:szCs w:val="24"/>
        </w:rPr>
        <w:t xml:space="preserve">Section 2.  </w:t>
      </w:r>
      <w:r w:rsidRPr="00E40C5D">
        <w:rPr>
          <w:rFonts w:ascii="Garamond" w:hAnsi="Garamond"/>
          <w:color w:val="000000" w:themeColor="text1"/>
          <w:sz w:val="24"/>
          <w:szCs w:val="24"/>
        </w:rPr>
        <w:t>Methodology and Analytic Process</w:t>
      </w:r>
    </w:p>
    <w:p w14:paraId="27161399" w14:textId="77777777" w:rsidR="00E3316C" w:rsidRPr="00E40C5D" w:rsidRDefault="00000000">
      <w:pPr>
        <w:spacing w:after="60"/>
        <w:ind w:left="360"/>
        <w:rPr>
          <w:rFonts w:ascii="Garamond" w:hAnsi="Garamond"/>
          <w:color w:val="000000" w:themeColor="text1"/>
          <w:sz w:val="24"/>
          <w:szCs w:val="24"/>
        </w:rPr>
      </w:pPr>
      <w:r w:rsidRPr="00E40C5D">
        <w:rPr>
          <w:rFonts w:ascii="Garamond" w:hAnsi="Garamond"/>
          <w:b/>
          <w:bCs/>
          <w:color w:val="000000" w:themeColor="text1"/>
          <w:sz w:val="24"/>
          <w:szCs w:val="24"/>
        </w:rPr>
        <w:t xml:space="preserve">Section 3.  </w:t>
      </w:r>
      <w:r w:rsidRPr="00E40C5D">
        <w:rPr>
          <w:rFonts w:ascii="Garamond" w:hAnsi="Garamond"/>
          <w:color w:val="000000" w:themeColor="text1"/>
          <w:sz w:val="24"/>
          <w:szCs w:val="24"/>
        </w:rPr>
        <w:t>What is Contextual Influence in Acculturative Stress (CIAS)?</w:t>
      </w:r>
    </w:p>
    <w:p w14:paraId="14FAA4E8" w14:textId="77777777" w:rsidR="00E3316C" w:rsidRPr="00E40C5D" w:rsidRDefault="00000000">
      <w:pPr>
        <w:spacing w:after="60"/>
        <w:ind w:left="360"/>
        <w:rPr>
          <w:rFonts w:ascii="Garamond" w:hAnsi="Garamond"/>
          <w:color w:val="000000" w:themeColor="text1"/>
          <w:sz w:val="24"/>
          <w:szCs w:val="24"/>
        </w:rPr>
      </w:pPr>
      <w:r w:rsidRPr="00E40C5D">
        <w:rPr>
          <w:rFonts w:ascii="Garamond" w:hAnsi="Garamond"/>
          <w:b/>
          <w:bCs/>
          <w:color w:val="000000" w:themeColor="text1"/>
          <w:sz w:val="24"/>
          <w:szCs w:val="24"/>
        </w:rPr>
        <w:t xml:space="preserve">Section 4.  </w:t>
      </w:r>
      <w:r w:rsidRPr="00E40C5D">
        <w:rPr>
          <w:rFonts w:ascii="Garamond" w:hAnsi="Garamond"/>
          <w:color w:val="000000" w:themeColor="text1"/>
          <w:sz w:val="24"/>
          <w:szCs w:val="24"/>
        </w:rPr>
        <w:t>How to Use This Toolkit</w:t>
      </w:r>
    </w:p>
    <w:p w14:paraId="6E952754" w14:textId="77777777" w:rsidR="00E3316C" w:rsidRPr="00E40C5D" w:rsidRDefault="00000000">
      <w:pPr>
        <w:spacing w:after="60"/>
        <w:rPr>
          <w:rFonts w:ascii="Garamond" w:hAnsi="Garamond"/>
          <w:color w:val="000000" w:themeColor="text1"/>
          <w:sz w:val="24"/>
          <w:szCs w:val="24"/>
        </w:rPr>
      </w:pPr>
      <w:r w:rsidRPr="00E40C5D">
        <w:rPr>
          <w:rFonts w:ascii="Garamond" w:hAnsi="Garamond"/>
          <w:b/>
          <w:bCs/>
          <w:color w:val="000000" w:themeColor="text1"/>
          <w:sz w:val="24"/>
          <w:szCs w:val="24"/>
        </w:rPr>
        <w:t>PART II: CASE WORKFLOW TOOLS</w:t>
      </w:r>
    </w:p>
    <w:p w14:paraId="6B12B38E" w14:textId="77777777" w:rsidR="00E3316C" w:rsidRPr="00E40C5D" w:rsidRDefault="00000000">
      <w:pPr>
        <w:spacing w:after="60"/>
        <w:ind w:left="360"/>
        <w:rPr>
          <w:rFonts w:ascii="Garamond" w:hAnsi="Garamond"/>
          <w:color w:val="000000" w:themeColor="text1"/>
          <w:sz w:val="24"/>
          <w:szCs w:val="24"/>
        </w:rPr>
      </w:pPr>
      <w:r w:rsidRPr="00E40C5D">
        <w:rPr>
          <w:rFonts w:ascii="Garamond" w:hAnsi="Garamond"/>
          <w:b/>
          <w:bCs/>
          <w:color w:val="000000" w:themeColor="text1"/>
          <w:sz w:val="24"/>
          <w:szCs w:val="24"/>
        </w:rPr>
        <w:t xml:space="preserve">Section 5.  </w:t>
      </w:r>
      <w:r w:rsidRPr="00E40C5D">
        <w:rPr>
          <w:rFonts w:ascii="Garamond" w:hAnsi="Garamond"/>
          <w:color w:val="000000" w:themeColor="text1"/>
          <w:sz w:val="24"/>
          <w:szCs w:val="24"/>
        </w:rPr>
        <w:t>Quick Navigation: Where to Go When You Are Stuck</w:t>
      </w:r>
    </w:p>
    <w:p w14:paraId="477F39F5" w14:textId="77777777" w:rsidR="00E3316C" w:rsidRPr="00E40C5D" w:rsidRDefault="00000000">
      <w:pPr>
        <w:spacing w:after="60"/>
        <w:ind w:left="360"/>
        <w:rPr>
          <w:rFonts w:ascii="Garamond" w:hAnsi="Garamond"/>
          <w:color w:val="000000" w:themeColor="text1"/>
          <w:sz w:val="24"/>
          <w:szCs w:val="24"/>
        </w:rPr>
      </w:pPr>
      <w:r w:rsidRPr="00E40C5D">
        <w:rPr>
          <w:rFonts w:ascii="Garamond" w:hAnsi="Garamond"/>
          <w:b/>
          <w:bCs/>
          <w:color w:val="000000" w:themeColor="text1"/>
          <w:sz w:val="24"/>
          <w:szCs w:val="24"/>
        </w:rPr>
        <w:t xml:space="preserve">Section 6.  </w:t>
      </w:r>
      <w:r w:rsidRPr="00E40C5D">
        <w:rPr>
          <w:rFonts w:ascii="Garamond" w:hAnsi="Garamond"/>
          <w:color w:val="000000" w:themeColor="text1"/>
          <w:sz w:val="24"/>
          <w:szCs w:val="24"/>
        </w:rPr>
        <w:t>Intake Claim Triage</w:t>
      </w:r>
    </w:p>
    <w:p w14:paraId="76DF5114" w14:textId="77777777" w:rsidR="00E3316C" w:rsidRPr="00E40C5D" w:rsidRDefault="00000000">
      <w:pPr>
        <w:spacing w:after="60"/>
        <w:ind w:left="360"/>
        <w:rPr>
          <w:rFonts w:ascii="Garamond" w:hAnsi="Garamond"/>
          <w:color w:val="000000" w:themeColor="text1"/>
          <w:sz w:val="24"/>
          <w:szCs w:val="24"/>
        </w:rPr>
      </w:pPr>
      <w:r w:rsidRPr="00E40C5D">
        <w:rPr>
          <w:rFonts w:ascii="Garamond" w:hAnsi="Garamond"/>
          <w:b/>
          <w:bCs/>
          <w:color w:val="000000" w:themeColor="text1"/>
          <w:sz w:val="24"/>
          <w:szCs w:val="24"/>
        </w:rPr>
        <w:t xml:space="preserve">Section 7.  </w:t>
      </w:r>
      <w:r w:rsidRPr="00E40C5D">
        <w:rPr>
          <w:rFonts w:ascii="Garamond" w:hAnsi="Garamond"/>
          <w:color w:val="000000" w:themeColor="text1"/>
          <w:sz w:val="24"/>
          <w:szCs w:val="24"/>
        </w:rPr>
        <w:t>Multi-Meeting Narrative Development Roadmap</w:t>
      </w:r>
    </w:p>
    <w:p w14:paraId="70366DBD" w14:textId="77777777" w:rsidR="00E3316C" w:rsidRPr="00E40C5D" w:rsidRDefault="00000000">
      <w:pPr>
        <w:spacing w:after="60"/>
        <w:ind w:left="360"/>
        <w:rPr>
          <w:rFonts w:ascii="Garamond" w:hAnsi="Garamond"/>
          <w:color w:val="000000" w:themeColor="text1"/>
          <w:sz w:val="24"/>
          <w:szCs w:val="24"/>
        </w:rPr>
      </w:pPr>
      <w:r w:rsidRPr="00E40C5D">
        <w:rPr>
          <w:rFonts w:ascii="Garamond" w:hAnsi="Garamond"/>
          <w:b/>
          <w:bCs/>
          <w:color w:val="000000" w:themeColor="text1"/>
          <w:sz w:val="24"/>
          <w:szCs w:val="24"/>
        </w:rPr>
        <w:t xml:space="preserve">Section 8.  </w:t>
      </w:r>
      <w:r w:rsidRPr="00E40C5D">
        <w:rPr>
          <w:rFonts w:ascii="Garamond" w:hAnsi="Garamond"/>
          <w:color w:val="000000" w:themeColor="text1"/>
          <w:sz w:val="24"/>
          <w:szCs w:val="24"/>
        </w:rPr>
        <w:t>Prompt Bank by Interview Stage</w:t>
      </w:r>
    </w:p>
    <w:p w14:paraId="731CE710" w14:textId="77777777" w:rsidR="00E3316C" w:rsidRPr="00E40C5D" w:rsidRDefault="00000000">
      <w:pPr>
        <w:spacing w:after="60"/>
        <w:ind w:left="360"/>
        <w:rPr>
          <w:rFonts w:ascii="Garamond" w:hAnsi="Garamond"/>
          <w:color w:val="000000" w:themeColor="text1"/>
          <w:sz w:val="24"/>
          <w:szCs w:val="24"/>
        </w:rPr>
      </w:pPr>
      <w:r w:rsidRPr="00E40C5D">
        <w:rPr>
          <w:rFonts w:ascii="Garamond" w:hAnsi="Garamond"/>
          <w:b/>
          <w:bCs/>
          <w:color w:val="000000" w:themeColor="text1"/>
          <w:sz w:val="24"/>
          <w:szCs w:val="24"/>
        </w:rPr>
        <w:t xml:space="preserve">Section 9.  </w:t>
      </w:r>
      <w:r w:rsidRPr="00E40C5D">
        <w:rPr>
          <w:rFonts w:ascii="Garamond" w:hAnsi="Garamond"/>
          <w:color w:val="000000" w:themeColor="text1"/>
          <w:sz w:val="24"/>
          <w:szCs w:val="24"/>
        </w:rPr>
        <w:t>Delay, Partial Disclosure, Barriers, and Developmental Markers</w:t>
      </w:r>
    </w:p>
    <w:p w14:paraId="36D9574F" w14:textId="77777777" w:rsidR="00E3316C" w:rsidRPr="00E40C5D" w:rsidRDefault="00000000">
      <w:pPr>
        <w:spacing w:after="60"/>
        <w:ind w:left="360"/>
        <w:rPr>
          <w:rFonts w:ascii="Garamond" w:hAnsi="Garamond"/>
          <w:color w:val="000000" w:themeColor="text1"/>
          <w:sz w:val="24"/>
          <w:szCs w:val="24"/>
        </w:rPr>
      </w:pPr>
      <w:r w:rsidRPr="00E40C5D">
        <w:rPr>
          <w:rFonts w:ascii="Garamond" w:hAnsi="Garamond"/>
          <w:b/>
          <w:bCs/>
          <w:color w:val="000000" w:themeColor="text1"/>
          <w:sz w:val="24"/>
          <w:szCs w:val="24"/>
        </w:rPr>
        <w:t xml:space="preserve">Section 10.  </w:t>
      </w:r>
      <w:r w:rsidRPr="00E40C5D">
        <w:rPr>
          <w:rFonts w:ascii="Garamond" w:hAnsi="Garamond"/>
          <w:color w:val="000000" w:themeColor="text1"/>
          <w:sz w:val="24"/>
          <w:szCs w:val="24"/>
        </w:rPr>
        <w:t>Bridge Scripts, Legal Rationale, and Meaning-Checks</w:t>
      </w:r>
    </w:p>
    <w:p w14:paraId="4AF74D56" w14:textId="77777777" w:rsidR="00E3316C" w:rsidRPr="00E40C5D" w:rsidRDefault="00000000">
      <w:pPr>
        <w:spacing w:after="60"/>
        <w:ind w:left="360"/>
        <w:rPr>
          <w:rFonts w:ascii="Garamond" w:hAnsi="Garamond"/>
          <w:color w:val="000000" w:themeColor="text1"/>
          <w:sz w:val="24"/>
          <w:szCs w:val="24"/>
        </w:rPr>
      </w:pPr>
      <w:r w:rsidRPr="00E40C5D">
        <w:rPr>
          <w:rFonts w:ascii="Garamond" w:hAnsi="Garamond"/>
          <w:b/>
          <w:bCs/>
          <w:color w:val="000000" w:themeColor="text1"/>
          <w:sz w:val="24"/>
          <w:szCs w:val="24"/>
        </w:rPr>
        <w:t xml:space="preserve">Section 11.  </w:t>
      </w:r>
      <w:r w:rsidRPr="00E40C5D">
        <w:rPr>
          <w:rFonts w:ascii="Garamond" w:hAnsi="Garamond"/>
          <w:color w:val="000000" w:themeColor="text1"/>
          <w:sz w:val="24"/>
          <w:szCs w:val="24"/>
        </w:rPr>
        <w:t>Affidavit and Narrative Review Toolkit</w:t>
      </w:r>
    </w:p>
    <w:p w14:paraId="0C5EBBB4" w14:textId="77777777" w:rsidR="00E3316C" w:rsidRPr="00E40C5D" w:rsidRDefault="00000000">
      <w:pPr>
        <w:spacing w:after="60"/>
        <w:rPr>
          <w:rFonts w:ascii="Garamond" w:hAnsi="Garamond"/>
          <w:color w:val="000000" w:themeColor="text1"/>
          <w:sz w:val="24"/>
          <w:szCs w:val="24"/>
        </w:rPr>
      </w:pPr>
      <w:r w:rsidRPr="00E40C5D">
        <w:rPr>
          <w:rFonts w:ascii="Garamond" w:hAnsi="Garamond"/>
          <w:b/>
          <w:bCs/>
          <w:color w:val="000000" w:themeColor="text1"/>
          <w:sz w:val="24"/>
          <w:szCs w:val="24"/>
        </w:rPr>
        <w:t>PART III: DOCUMENTATION AND EVIDENCE</w:t>
      </w:r>
    </w:p>
    <w:p w14:paraId="2953AB9A" w14:textId="77777777" w:rsidR="00E3316C" w:rsidRPr="00E40C5D" w:rsidRDefault="00000000">
      <w:pPr>
        <w:spacing w:after="60"/>
        <w:ind w:left="360"/>
        <w:rPr>
          <w:rFonts w:ascii="Garamond" w:hAnsi="Garamond"/>
          <w:color w:val="000000" w:themeColor="text1"/>
          <w:sz w:val="24"/>
          <w:szCs w:val="24"/>
        </w:rPr>
      </w:pPr>
      <w:r w:rsidRPr="00E40C5D">
        <w:rPr>
          <w:rFonts w:ascii="Garamond" w:hAnsi="Garamond"/>
          <w:b/>
          <w:bCs/>
          <w:color w:val="000000" w:themeColor="text1"/>
          <w:sz w:val="24"/>
          <w:szCs w:val="24"/>
        </w:rPr>
        <w:t xml:space="preserve">Section 12.  </w:t>
      </w:r>
      <w:r w:rsidRPr="00E40C5D">
        <w:rPr>
          <w:rFonts w:ascii="Garamond" w:hAnsi="Garamond"/>
          <w:color w:val="000000" w:themeColor="text1"/>
          <w:sz w:val="24"/>
          <w:szCs w:val="24"/>
        </w:rPr>
        <w:t>Evidence and Exhibit Organizer</w:t>
      </w:r>
    </w:p>
    <w:p w14:paraId="09EB0A2A" w14:textId="77777777" w:rsidR="00E3316C" w:rsidRPr="00E40C5D" w:rsidRDefault="00000000">
      <w:pPr>
        <w:spacing w:after="60"/>
        <w:ind w:left="360"/>
        <w:rPr>
          <w:rFonts w:ascii="Garamond" w:hAnsi="Garamond"/>
          <w:color w:val="000000" w:themeColor="text1"/>
          <w:sz w:val="24"/>
          <w:szCs w:val="24"/>
        </w:rPr>
      </w:pPr>
      <w:r w:rsidRPr="00E40C5D">
        <w:rPr>
          <w:rFonts w:ascii="Garamond" w:hAnsi="Garamond"/>
          <w:b/>
          <w:bCs/>
          <w:color w:val="000000" w:themeColor="text1"/>
          <w:sz w:val="24"/>
          <w:szCs w:val="24"/>
        </w:rPr>
        <w:t xml:space="preserve">Section 13.  </w:t>
      </w:r>
      <w:r w:rsidRPr="00E40C5D">
        <w:rPr>
          <w:rFonts w:ascii="Garamond" w:hAnsi="Garamond"/>
          <w:color w:val="000000" w:themeColor="text1"/>
          <w:sz w:val="24"/>
          <w:szCs w:val="24"/>
        </w:rPr>
        <w:t>Interpreter and Language-Access Guidance</w:t>
      </w:r>
    </w:p>
    <w:p w14:paraId="18F1B138" w14:textId="77777777" w:rsidR="00E3316C" w:rsidRPr="00E40C5D" w:rsidRDefault="00000000">
      <w:pPr>
        <w:spacing w:after="60"/>
        <w:ind w:left="360"/>
        <w:rPr>
          <w:rFonts w:ascii="Garamond" w:hAnsi="Garamond"/>
          <w:color w:val="000000" w:themeColor="text1"/>
          <w:sz w:val="24"/>
          <w:szCs w:val="24"/>
        </w:rPr>
      </w:pPr>
      <w:r w:rsidRPr="00E40C5D">
        <w:rPr>
          <w:rFonts w:ascii="Garamond" w:hAnsi="Garamond"/>
          <w:b/>
          <w:bCs/>
          <w:color w:val="000000" w:themeColor="text1"/>
          <w:sz w:val="24"/>
          <w:szCs w:val="24"/>
        </w:rPr>
        <w:t xml:space="preserve">Section 14.  </w:t>
      </w:r>
      <w:r w:rsidRPr="00E40C5D">
        <w:rPr>
          <w:rFonts w:ascii="Garamond" w:hAnsi="Garamond"/>
          <w:color w:val="000000" w:themeColor="text1"/>
          <w:sz w:val="24"/>
          <w:szCs w:val="24"/>
        </w:rPr>
        <w:t>Science Briefs and Citations Attorneys Can Use</w:t>
      </w:r>
    </w:p>
    <w:p w14:paraId="0B288185" w14:textId="77777777" w:rsidR="00E3316C" w:rsidRPr="00E40C5D" w:rsidRDefault="00000000">
      <w:pPr>
        <w:spacing w:after="60"/>
        <w:rPr>
          <w:rFonts w:ascii="Garamond" w:hAnsi="Garamond"/>
          <w:color w:val="000000" w:themeColor="text1"/>
          <w:sz w:val="24"/>
          <w:szCs w:val="24"/>
        </w:rPr>
      </w:pPr>
      <w:r w:rsidRPr="00E40C5D">
        <w:rPr>
          <w:rFonts w:ascii="Garamond" w:hAnsi="Garamond"/>
          <w:b/>
          <w:bCs/>
          <w:color w:val="000000" w:themeColor="text1"/>
          <w:sz w:val="24"/>
          <w:szCs w:val="24"/>
        </w:rPr>
        <w:t>PART IV: CASE CLOSURE</w:t>
      </w:r>
    </w:p>
    <w:p w14:paraId="2BFD8C6E" w14:textId="77777777" w:rsidR="00E3316C" w:rsidRPr="00E40C5D" w:rsidRDefault="00000000">
      <w:pPr>
        <w:spacing w:after="60"/>
        <w:ind w:left="360"/>
        <w:rPr>
          <w:rFonts w:ascii="Garamond" w:hAnsi="Garamond"/>
          <w:color w:val="000000" w:themeColor="text1"/>
          <w:sz w:val="24"/>
          <w:szCs w:val="24"/>
        </w:rPr>
      </w:pPr>
      <w:r w:rsidRPr="00E40C5D">
        <w:rPr>
          <w:rFonts w:ascii="Garamond" w:hAnsi="Garamond"/>
          <w:b/>
          <w:bCs/>
          <w:color w:val="000000" w:themeColor="text1"/>
          <w:sz w:val="24"/>
          <w:szCs w:val="24"/>
        </w:rPr>
        <w:t xml:space="preserve">Section 15.  </w:t>
      </w:r>
      <w:r w:rsidRPr="00E40C5D">
        <w:rPr>
          <w:rFonts w:ascii="Garamond" w:hAnsi="Garamond"/>
          <w:color w:val="000000" w:themeColor="text1"/>
          <w:sz w:val="24"/>
          <w:szCs w:val="24"/>
        </w:rPr>
        <w:t>Next Steps After Filing, Interview Prep, and Case Closure</w:t>
      </w:r>
    </w:p>
    <w:p w14:paraId="39012BE2" w14:textId="77777777" w:rsidR="00E3316C" w:rsidRPr="00E40C5D" w:rsidRDefault="00000000">
      <w:pPr>
        <w:spacing w:after="60"/>
        <w:rPr>
          <w:rFonts w:ascii="Garamond" w:hAnsi="Garamond"/>
          <w:color w:val="000000" w:themeColor="text1"/>
          <w:sz w:val="24"/>
          <w:szCs w:val="24"/>
        </w:rPr>
      </w:pPr>
      <w:r w:rsidRPr="00E40C5D">
        <w:rPr>
          <w:rFonts w:ascii="Garamond" w:hAnsi="Garamond"/>
          <w:b/>
          <w:bCs/>
          <w:color w:val="000000" w:themeColor="text1"/>
          <w:sz w:val="24"/>
          <w:szCs w:val="24"/>
        </w:rPr>
        <w:t>APPENDICES</w:t>
      </w:r>
    </w:p>
    <w:p w14:paraId="7CFD415C" w14:textId="77777777" w:rsidR="00E3316C" w:rsidRPr="00E40C5D" w:rsidRDefault="00000000">
      <w:pPr>
        <w:spacing w:after="60"/>
        <w:ind w:left="360"/>
        <w:rPr>
          <w:rFonts w:ascii="Garamond" w:hAnsi="Garamond"/>
          <w:color w:val="000000" w:themeColor="text1"/>
          <w:sz w:val="24"/>
          <w:szCs w:val="24"/>
        </w:rPr>
      </w:pPr>
      <w:r w:rsidRPr="00E40C5D">
        <w:rPr>
          <w:rFonts w:ascii="Garamond" w:hAnsi="Garamond"/>
          <w:b/>
          <w:bCs/>
          <w:color w:val="000000" w:themeColor="text1"/>
          <w:sz w:val="24"/>
          <w:szCs w:val="24"/>
        </w:rPr>
        <w:t xml:space="preserve">Appendix A.  </w:t>
      </w:r>
      <w:r w:rsidRPr="00E40C5D">
        <w:rPr>
          <w:rFonts w:ascii="Garamond" w:hAnsi="Garamond"/>
          <w:color w:val="000000" w:themeColor="text1"/>
          <w:sz w:val="24"/>
          <w:szCs w:val="24"/>
        </w:rPr>
        <w:t>Glossary of Practical Terms</w:t>
      </w:r>
    </w:p>
    <w:p w14:paraId="1AC15279" w14:textId="77777777" w:rsidR="00E3316C" w:rsidRPr="00E40C5D" w:rsidRDefault="00000000">
      <w:pPr>
        <w:spacing w:after="60"/>
        <w:ind w:left="360"/>
        <w:rPr>
          <w:rFonts w:ascii="Garamond" w:hAnsi="Garamond"/>
          <w:color w:val="000000" w:themeColor="text1"/>
          <w:sz w:val="24"/>
          <w:szCs w:val="24"/>
        </w:rPr>
      </w:pPr>
      <w:r w:rsidRPr="00E40C5D">
        <w:rPr>
          <w:rFonts w:ascii="Garamond" w:hAnsi="Garamond"/>
          <w:b/>
          <w:bCs/>
          <w:color w:val="000000" w:themeColor="text1"/>
          <w:sz w:val="24"/>
          <w:szCs w:val="24"/>
        </w:rPr>
        <w:t xml:space="preserve">Appendix B.  </w:t>
      </w:r>
      <w:r w:rsidRPr="00E40C5D">
        <w:rPr>
          <w:rFonts w:ascii="Garamond" w:hAnsi="Garamond"/>
          <w:color w:val="000000" w:themeColor="text1"/>
          <w:sz w:val="24"/>
          <w:szCs w:val="24"/>
        </w:rPr>
        <w:t>Annotated Sample Declaration Architecture</w:t>
      </w:r>
    </w:p>
    <w:p w14:paraId="05859C97" w14:textId="77777777" w:rsidR="00E3316C" w:rsidRPr="00E40C5D" w:rsidRDefault="00000000">
      <w:pPr>
        <w:spacing w:after="60"/>
        <w:ind w:left="360"/>
        <w:rPr>
          <w:rFonts w:ascii="Garamond" w:hAnsi="Garamond"/>
          <w:color w:val="000000" w:themeColor="text1"/>
          <w:sz w:val="24"/>
          <w:szCs w:val="24"/>
        </w:rPr>
      </w:pPr>
      <w:r w:rsidRPr="00E40C5D">
        <w:rPr>
          <w:rFonts w:ascii="Garamond" w:hAnsi="Garamond"/>
          <w:b/>
          <w:bCs/>
          <w:color w:val="000000" w:themeColor="text1"/>
          <w:sz w:val="24"/>
          <w:szCs w:val="24"/>
        </w:rPr>
        <w:t xml:space="preserve">Appendix C.  </w:t>
      </w:r>
      <w:r w:rsidRPr="00E40C5D">
        <w:rPr>
          <w:rFonts w:ascii="Garamond" w:hAnsi="Garamond"/>
          <w:color w:val="000000" w:themeColor="text1"/>
          <w:sz w:val="24"/>
          <w:szCs w:val="24"/>
        </w:rPr>
        <w:t>Blank Declaration Template</w:t>
      </w:r>
    </w:p>
    <w:p w14:paraId="71D4FBE8" w14:textId="77777777" w:rsidR="00E3316C" w:rsidRPr="00E40C5D" w:rsidRDefault="00000000">
      <w:pPr>
        <w:spacing w:after="60"/>
        <w:ind w:left="360"/>
        <w:rPr>
          <w:rFonts w:ascii="Garamond" w:hAnsi="Garamond"/>
          <w:color w:val="000000" w:themeColor="text1"/>
          <w:sz w:val="24"/>
          <w:szCs w:val="24"/>
        </w:rPr>
      </w:pPr>
      <w:r w:rsidRPr="00E40C5D">
        <w:rPr>
          <w:rFonts w:ascii="Garamond" w:hAnsi="Garamond"/>
          <w:b/>
          <w:bCs/>
          <w:color w:val="000000" w:themeColor="text1"/>
          <w:sz w:val="24"/>
          <w:szCs w:val="24"/>
        </w:rPr>
        <w:t xml:space="preserve">Appendix D.  </w:t>
      </w:r>
      <w:r w:rsidRPr="00E40C5D">
        <w:rPr>
          <w:rFonts w:ascii="Garamond" w:hAnsi="Garamond"/>
          <w:color w:val="000000" w:themeColor="text1"/>
          <w:sz w:val="24"/>
          <w:szCs w:val="24"/>
        </w:rPr>
        <w:t>Story Organizer for Limited-Scope or Assisted Pro Se Use</w:t>
      </w:r>
    </w:p>
    <w:p w14:paraId="12D0F62F" w14:textId="77777777" w:rsidR="00E3316C" w:rsidRPr="00E40C5D" w:rsidRDefault="00000000">
      <w:pPr>
        <w:spacing w:after="60"/>
        <w:ind w:left="360"/>
        <w:rPr>
          <w:rFonts w:ascii="Garamond" w:hAnsi="Garamond"/>
          <w:color w:val="000000" w:themeColor="text1"/>
          <w:sz w:val="24"/>
          <w:szCs w:val="24"/>
        </w:rPr>
      </w:pPr>
      <w:r w:rsidRPr="00E40C5D">
        <w:rPr>
          <w:rFonts w:ascii="Garamond" w:hAnsi="Garamond"/>
          <w:b/>
          <w:bCs/>
          <w:color w:val="000000" w:themeColor="text1"/>
          <w:sz w:val="24"/>
          <w:szCs w:val="24"/>
        </w:rPr>
        <w:t xml:space="preserve">Appendix E.  </w:t>
      </w:r>
      <w:r w:rsidRPr="00E40C5D">
        <w:rPr>
          <w:rFonts w:ascii="Garamond" w:hAnsi="Garamond"/>
          <w:color w:val="000000" w:themeColor="text1"/>
          <w:sz w:val="24"/>
          <w:szCs w:val="24"/>
        </w:rPr>
        <w:t>Social Work / Clinical Contribution to Contextual Documentation</w:t>
      </w:r>
    </w:p>
    <w:p w14:paraId="75812923" w14:textId="77777777" w:rsidR="00E3316C" w:rsidRPr="00E40C5D" w:rsidRDefault="00000000">
      <w:pPr>
        <w:spacing w:after="60"/>
        <w:ind w:left="360"/>
        <w:rPr>
          <w:rFonts w:ascii="Garamond" w:hAnsi="Garamond"/>
          <w:color w:val="000000" w:themeColor="text1"/>
          <w:sz w:val="24"/>
          <w:szCs w:val="24"/>
        </w:rPr>
      </w:pPr>
      <w:r w:rsidRPr="00E40C5D">
        <w:rPr>
          <w:rFonts w:ascii="Garamond" w:hAnsi="Garamond"/>
          <w:b/>
          <w:bCs/>
          <w:color w:val="000000" w:themeColor="text1"/>
          <w:sz w:val="24"/>
          <w:szCs w:val="24"/>
        </w:rPr>
        <w:t xml:space="preserve">Appendix F.  </w:t>
      </w:r>
      <w:r w:rsidRPr="00E40C5D">
        <w:rPr>
          <w:rFonts w:ascii="Garamond" w:hAnsi="Garamond"/>
          <w:color w:val="000000" w:themeColor="text1"/>
          <w:sz w:val="24"/>
          <w:szCs w:val="24"/>
        </w:rPr>
        <w:t>Practitioner Reflection Log and Wellbeing Plan</w:t>
      </w:r>
    </w:p>
    <w:p w14:paraId="7714092A" w14:textId="77777777" w:rsidR="00E3316C" w:rsidRPr="00E40C5D" w:rsidRDefault="00000000">
      <w:pPr>
        <w:spacing w:after="60"/>
        <w:ind w:left="360"/>
        <w:rPr>
          <w:rFonts w:ascii="Garamond" w:hAnsi="Garamond"/>
          <w:color w:val="000000" w:themeColor="text1"/>
          <w:sz w:val="24"/>
          <w:szCs w:val="24"/>
        </w:rPr>
      </w:pPr>
      <w:r w:rsidRPr="00E40C5D">
        <w:rPr>
          <w:rFonts w:ascii="Garamond" w:hAnsi="Garamond"/>
          <w:b/>
          <w:bCs/>
          <w:color w:val="000000" w:themeColor="text1"/>
          <w:sz w:val="24"/>
          <w:szCs w:val="24"/>
        </w:rPr>
        <w:t xml:space="preserve">Appendix G.  </w:t>
      </w:r>
      <w:r w:rsidRPr="00E40C5D">
        <w:rPr>
          <w:rFonts w:ascii="Garamond" w:hAnsi="Garamond"/>
          <w:color w:val="000000" w:themeColor="text1"/>
          <w:sz w:val="24"/>
          <w:szCs w:val="24"/>
        </w:rPr>
        <w:t>Optional Client-Facing Visual Supports for Narrative Elicitation</w:t>
      </w:r>
    </w:p>
    <w:p w14:paraId="56B08E36" w14:textId="77777777" w:rsidR="00E3316C" w:rsidRPr="00E40C5D" w:rsidRDefault="00000000">
      <w:pPr>
        <w:spacing w:after="60"/>
        <w:rPr>
          <w:rFonts w:ascii="Garamond" w:hAnsi="Garamond"/>
          <w:color w:val="000000" w:themeColor="text1"/>
          <w:sz w:val="24"/>
          <w:szCs w:val="24"/>
        </w:rPr>
      </w:pPr>
      <w:r w:rsidRPr="00E40C5D">
        <w:rPr>
          <w:rFonts w:ascii="Garamond" w:hAnsi="Garamond"/>
          <w:b/>
          <w:bCs/>
          <w:color w:val="000000" w:themeColor="text1"/>
          <w:sz w:val="24"/>
          <w:szCs w:val="24"/>
        </w:rPr>
        <w:t>References</w:t>
      </w:r>
    </w:p>
    <w:p w14:paraId="4E4C947E" w14:textId="77777777" w:rsidR="00E3316C" w:rsidRPr="00E40C5D" w:rsidRDefault="00000000">
      <w:pPr>
        <w:rPr>
          <w:rFonts w:ascii="Garamond" w:hAnsi="Garamond"/>
          <w:color w:val="000000" w:themeColor="text1"/>
          <w:sz w:val="24"/>
          <w:szCs w:val="24"/>
        </w:rPr>
      </w:pPr>
      <w:r w:rsidRPr="00E40C5D">
        <w:rPr>
          <w:rFonts w:ascii="Garamond" w:hAnsi="Garamond"/>
          <w:color w:val="000000" w:themeColor="text1"/>
          <w:sz w:val="24"/>
          <w:szCs w:val="24"/>
        </w:rPr>
        <w:br w:type="page"/>
      </w:r>
    </w:p>
    <w:p w14:paraId="6AE98EAC" w14:textId="77777777" w:rsidR="00E3316C" w:rsidRPr="00E40C5D" w:rsidRDefault="00000000">
      <w:pPr>
        <w:pStyle w:val="Heading1"/>
        <w:shd w:val="clear" w:color="auto" w:fill="1F3864"/>
        <w:ind w:left="140"/>
        <w:rPr>
          <w:rFonts w:ascii="Garamond" w:hAnsi="Garamond"/>
          <w:color w:val="000000" w:themeColor="text1"/>
          <w:sz w:val="24"/>
          <w:szCs w:val="24"/>
        </w:rPr>
      </w:pPr>
      <w:r w:rsidRPr="00E40C5D">
        <w:rPr>
          <w:rFonts w:ascii="Garamond" w:hAnsi="Garamond"/>
          <w:color w:val="000000" w:themeColor="text1"/>
          <w:sz w:val="24"/>
          <w:szCs w:val="24"/>
        </w:rPr>
        <w:lastRenderedPageBreak/>
        <w:t>PART I: SCHOLARLY FOUNDATIONS</w:t>
      </w:r>
    </w:p>
    <w:p w14:paraId="1D1341B7" w14:textId="77777777" w:rsidR="00E3316C" w:rsidRPr="00E40C5D" w:rsidRDefault="00000000">
      <w:pPr>
        <w:pStyle w:val="Heading2"/>
        <w:pBdr>
          <w:bottom w:val="single" w:sz="6" w:space="1" w:color="2E75B6"/>
        </w:pBdr>
        <w:rPr>
          <w:rFonts w:ascii="Garamond" w:hAnsi="Garamond"/>
          <w:color w:val="000000" w:themeColor="text1"/>
          <w:sz w:val="24"/>
          <w:szCs w:val="24"/>
        </w:rPr>
      </w:pPr>
      <w:r w:rsidRPr="00E40C5D">
        <w:rPr>
          <w:rFonts w:ascii="Garamond" w:hAnsi="Garamond"/>
          <w:color w:val="000000" w:themeColor="text1"/>
          <w:sz w:val="24"/>
          <w:szCs w:val="24"/>
        </w:rPr>
        <w:t>Section 1. Literature Review: From Narrative Extraction to Contextual Interpretation</w:t>
      </w:r>
    </w:p>
    <w:p w14:paraId="06CCCC3F" w14:textId="77777777" w:rsidR="00E3316C" w:rsidRPr="00E40C5D" w:rsidRDefault="00E3316C">
      <w:pPr>
        <w:spacing w:before="60" w:after="60"/>
        <w:rPr>
          <w:rFonts w:ascii="Garamond" w:hAnsi="Garamond"/>
          <w:color w:val="000000" w:themeColor="text1"/>
          <w:sz w:val="24"/>
          <w:szCs w:val="24"/>
        </w:rPr>
      </w:pPr>
    </w:p>
    <w:p w14:paraId="79C43A4A" w14:textId="77777777" w:rsidR="00E3316C" w:rsidRPr="00E40C5D" w:rsidRDefault="00000000">
      <w:pPr>
        <w:pStyle w:val="Heading3"/>
        <w:rPr>
          <w:rFonts w:ascii="Garamond" w:hAnsi="Garamond"/>
          <w:color w:val="000000" w:themeColor="text1"/>
          <w:sz w:val="24"/>
          <w:szCs w:val="24"/>
        </w:rPr>
      </w:pPr>
      <w:proofErr w:type="gramStart"/>
      <w:r w:rsidRPr="00E40C5D">
        <w:rPr>
          <w:rFonts w:ascii="Garamond" w:hAnsi="Garamond"/>
          <w:color w:val="000000" w:themeColor="text1"/>
          <w:sz w:val="24"/>
          <w:szCs w:val="24"/>
        </w:rPr>
        <w:t>1.1  The</w:t>
      </w:r>
      <w:proofErr w:type="gramEnd"/>
      <w:r w:rsidRPr="00E40C5D">
        <w:rPr>
          <w:rFonts w:ascii="Garamond" w:hAnsi="Garamond"/>
          <w:color w:val="000000" w:themeColor="text1"/>
          <w:sz w:val="24"/>
          <w:szCs w:val="24"/>
        </w:rPr>
        <w:t xml:space="preserve"> Problem: Narrative Misreading in the Contemporary Asylum System</w:t>
      </w:r>
    </w:p>
    <w:p w14:paraId="77FD2BEE" w14:textId="77777777" w:rsidR="00E3316C" w:rsidRPr="00E40C5D" w:rsidRDefault="00000000">
      <w:pPr>
        <w:spacing w:after="120"/>
        <w:rPr>
          <w:rFonts w:ascii="Garamond" w:hAnsi="Garamond"/>
          <w:color w:val="000000" w:themeColor="text1"/>
          <w:sz w:val="24"/>
          <w:szCs w:val="24"/>
        </w:rPr>
      </w:pPr>
      <w:r w:rsidRPr="00E40C5D">
        <w:rPr>
          <w:rFonts w:ascii="Garamond" w:hAnsi="Garamond"/>
          <w:color w:val="000000" w:themeColor="text1"/>
          <w:sz w:val="24"/>
          <w:szCs w:val="24"/>
        </w:rPr>
        <w:t>The central difficulty in contemporary asylum practice is not the absence of narrative, but the misreading of narrative form. The U.S. asylum system asks applicants to produce timely, coherent, and internally consistent accounts in a setting defined by legal deadlines, interpreter dependence, administrative backlog, and intensifying regulatory constraint. As of early 2026, USCIS reported over 1.4 million pending affirmative asylum claims; EOIR documented 3,666,795 pending cases in the first quarter of FY2026, with hearings calendared through FY2030; and DHS proposed additional restrictions on asylum-related employment authorization (USCIS, 2024, 2025a, 2025b, 2026; EOIR, 2026a, 2026b; DHS, 2026). These are not neutral procedural facts. They produce an adjudicative climate in which omission, delay, chronological uncertainty, and limited corroboration are readily read as weakness—even though the research literature consistently demonstrates that such patterns are generated by trauma, shame, translation barriers, and post-migration precarity rather than fabrication.</w:t>
      </w:r>
    </w:p>
    <w:p w14:paraId="468B3DD3" w14:textId="77777777" w:rsidR="00E3316C" w:rsidRPr="00E40C5D" w:rsidRDefault="00E3316C">
      <w:pPr>
        <w:spacing w:before="60" w:after="60"/>
        <w:rPr>
          <w:rFonts w:ascii="Garamond" w:hAnsi="Garamond"/>
          <w:color w:val="000000" w:themeColor="text1"/>
          <w:sz w:val="24"/>
          <w:szCs w:val="24"/>
        </w:rPr>
      </w:pPr>
    </w:p>
    <w:p w14:paraId="66CFA4F0" w14:textId="30D09E9E" w:rsidR="00E3316C" w:rsidRPr="00E40C5D" w:rsidRDefault="00000000">
      <w:pPr>
        <w:pStyle w:val="Heading3"/>
        <w:rPr>
          <w:rFonts w:ascii="Garamond" w:hAnsi="Garamond"/>
          <w:color w:val="000000" w:themeColor="text1"/>
          <w:sz w:val="24"/>
          <w:szCs w:val="24"/>
        </w:rPr>
      </w:pPr>
      <w:proofErr w:type="gramStart"/>
      <w:r w:rsidRPr="00E40C5D">
        <w:rPr>
          <w:rFonts w:ascii="Garamond" w:hAnsi="Garamond"/>
          <w:color w:val="000000" w:themeColor="text1"/>
          <w:sz w:val="24"/>
          <w:szCs w:val="24"/>
        </w:rPr>
        <w:t>1.2  The</w:t>
      </w:r>
      <w:proofErr w:type="gramEnd"/>
      <w:r w:rsidRPr="00E40C5D">
        <w:rPr>
          <w:rFonts w:ascii="Garamond" w:hAnsi="Garamond"/>
          <w:color w:val="000000" w:themeColor="text1"/>
          <w:sz w:val="24"/>
          <w:szCs w:val="24"/>
        </w:rPr>
        <w:t xml:space="preserve"> </w:t>
      </w:r>
      <w:r w:rsidR="00366C0D" w:rsidRPr="00E40C5D">
        <w:rPr>
          <w:rFonts w:ascii="Garamond" w:hAnsi="Garamond"/>
          <w:color w:val="000000" w:themeColor="text1"/>
          <w:sz w:val="24"/>
          <w:szCs w:val="24"/>
        </w:rPr>
        <w:t>Limits of the existing toolkit landscape</w:t>
      </w:r>
    </w:p>
    <w:p w14:paraId="46F76A7F" w14:textId="77777777" w:rsidR="00E3316C" w:rsidRPr="00E40C5D" w:rsidRDefault="00000000">
      <w:pPr>
        <w:spacing w:after="120"/>
        <w:rPr>
          <w:rFonts w:ascii="Garamond" w:hAnsi="Garamond"/>
          <w:color w:val="000000" w:themeColor="text1"/>
          <w:sz w:val="24"/>
          <w:szCs w:val="24"/>
        </w:rPr>
      </w:pPr>
      <w:r w:rsidRPr="00E40C5D">
        <w:rPr>
          <w:rFonts w:ascii="Garamond" w:hAnsi="Garamond"/>
          <w:color w:val="000000" w:themeColor="text1"/>
          <w:sz w:val="24"/>
          <w:szCs w:val="24"/>
        </w:rPr>
        <w:t>Existing practitioner resources address parts of this problem without resolving it, because they remain analytically fragmented. Attorney-facing resources such as the ABA/HIAS asylum toolkit are strong on workflow: they help practitioners organize intake, develop declarations, gather evidence, and prepare for interviews (American Bar Association Commission on Immigration &amp; HIAS, 2022). Rights-based resources such as the Asylum Access toolkit foreground empowerment and implementation (Asylum Access, 2020). Trauma-informed case management materials, including USCRI guidance, attend to stabilization, pacing, and safety (U.S. Committee for Refugees and Immigrants, 2021). Each of these tools is valuable; none is sufficient on its own. A legal toolkit may specify what must appear in a declaration but cannot explain how to document a fact that surfaces only after several interviews. A trauma-informed manual may recommend pacing and choice but cannot explain how to distinguish a trauma-related chronology gap from a material inconsistency. A rights-based toolkit may foreground agency but provide no method for interpreting non-reporting, delayed departure, or internal relocation within asylum doctrine. What is missing is an integrative framework that treats narrative production itself as contextual—rather than assuming that once the right question is asked, a legally usable answer will reliably emerge.</w:t>
      </w:r>
    </w:p>
    <w:p w14:paraId="1CBD65C7" w14:textId="77777777" w:rsidR="00E3316C" w:rsidRPr="00E40C5D" w:rsidRDefault="00E3316C">
      <w:pPr>
        <w:spacing w:before="60" w:after="60"/>
        <w:rPr>
          <w:rFonts w:ascii="Garamond" w:hAnsi="Garamond"/>
          <w:color w:val="000000" w:themeColor="text1"/>
          <w:sz w:val="24"/>
          <w:szCs w:val="24"/>
        </w:rPr>
      </w:pPr>
    </w:p>
    <w:p w14:paraId="28F63C64" w14:textId="77777777" w:rsidR="00E3316C" w:rsidRPr="00E40C5D" w:rsidRDefault="00000000">
      <w:pPr>
        <w:pStyle w:val="Heading3"/>
        <w:rPr>
          <w:rFonts w:ascii="Garamond" w:hAnsi="Garamond"/>
          <w:color w:val="000000" w:themeColor="text1"/>
          <w:sz w:val="24"/>
          <w:szCs w:val="24"/>
        </w:rPr>
      </w:pPr>
      <w:proofErr w:type="gramStart"/>
      <w:r w:rsidRPr="00E40C5D">
        <w:rPr>
          <w:rFonts w:ascii="Garamond" w:hAnsi="Garamond"/>
          <w:color w:val="000000" w:themeColor="text1"/>
          <w:sz w:val="24"/>
          <w:szCs w:val="24"/>
        </w:rPr>
        <w:t>1.3  Trauma</w:t>
      </w:r>
      <w:proofErr w:type="gramEnd"/>
      <w:r w:rsidRPr="00E40C5D">
        <w:rPr>
          <w:rFonts w:ascii="Garamond" w:hAnsi="Garamond"/>
          <w:color w:val="000000" w:themeColor="text1"/>
          <w:sz w:val="24"/>
          <w:szCs w:val="24"/>
        </w:rPr>
        <w:t>-Informed Practice: Evidence and Limits</w:t>
      </w:r>
    </w:p>
    <w:p w14:paraId="4A310459" w14:textId="135CB77B" w:rsidR="00E3316C" w:rsidRPr="00E40C5D" w:rsidRDefault="00000000" w:rsidP="00FE3655">
      <w:pPr>
        <w:spacing w:after="120"/>
        <w:rPr>
          <w:rFonts w:ascii="Garamond" w:hAnsi="Garamond"/>
          <w:color w:val="000000" w:themeColor="text1"/>
          <w:sz w:val="24"/>
          <w:szCs w:val="24"/>
        </w:rPr>
      </w:pPr>
      <w:r w:rsidRPr="00E40C5D">
        <w:rPr>
          <w:rFonts w:ascii="Garamond" w:hAnsi="Garamond"/>
          <w:color w:val="000000" w:themeColor="text1"/>
          <w:sz w:val="24"/>
          <w:szCs w:val="24"/>
        </w:rPr>
        <w:t xml:space="preserve">The trauma-informed literature establishes why this fragmentation is consequential. Disclosure is relational, paced, and dependent on perceived safety rather than simple willingness to answer questions (Miller et al., 2019; Webb et al., 2022). </w:t>
      </w:r>
      <w:proofErr w:type="spellStart"/>
      <w:r w:rsidRPr="00E40C5D">
        <w:rPr>
          <w:rFonts w:ascii="Garamond" w:hAnsi="Garamond"/>
          <w:color w:val="000000" w:themeColor="text1"/>
          <w:sz w:val="24"/>
          <w:szCs w:val="24"/>
        </w:rPr>
        <w:t>Bögner</w:t>
      </w:r>
      <w:proofErr w:type="spellEnd"/>
      <w:r w:rsidRPr="00E40C5D">
        <w:rPr>
          <w:rFonts w:ascii="Garamond" w:hAnsi="Garamond"/>
          <w:color w:val="000000" w:themeColor="text1"/>
          <w:sz w:val="24"/>
          <w:szCs w:val="24"/>
        </w:rPr>
        <w:t xml:space="preserve"> et al. (2007) found that sexual violence was frequently disclosed late because shame and dissociation interfered with earlier reporting. Saadi et al. (2021) documented that memory loss and chronology difficulty in asylum affidavits were associated with PTSD and depression—not deceit. These findings carry direct practice implications: a survivor </w:t>
      </w:r>
      <w:r w:rsidRPr="00E40C5D">
        <w:rPr>
          <w:rFonts w:ascii="Garamond" w:hAnsi="Garamond"/>
          <w:color w:val="000000" w:themeColor="text1"/>
          <w:sz w:val="24"/>
          <w:szCs w:val="24"/>
        </w:rPr>
        <w:lastRenderedPageBreak/>
        <w:t xml:space="preserve">may accurately recall the persecutor's exact words yet be unable to situate the event in a specific month; a client may disclose sexual violence only after several sessions; flat or detached affect may signal overload rather than indifference. Trauma-informed care becomes insufficient, however, when it remains at the level of general principle. It is not enough to advise practitioners to create safety or avoid </w:t>
      </w:r>
      <w:proofErr w:type="spellStart"/>
      <w:r w:rsidRPr="00E40C5D">
        <w:rPr>
          <w:rFonts w:ascii="Garamond" w:hAnsi="Garamond"/>
          <w:color w:val="000000" w:themeColor="text1"/>
          <w:sz w:val="24"/>
          <w:szCs w:val="24"/>
        </w:rPr>
        <w:t>retraumatization</w:t>
      </w:r>
      <w:proofErr w:type="spellEnd"/>
      <w:r w:rsidRPr="00E40C5D">
        <w:rPr>
          <w:rFonts w:ascii="Garamond" w:hAnsi="Garamond"/>
          <w:color w:val="000000" w:themeColor="text1"/>
          <w:sz w:val="24"/>
          <w:szCs w:val="24"/>
        </w:rPr>
        <w:t>. In asylum work, trauma-informed practice must also provide a method for documenting late-emerging facts neutrally, explaining disclosure barriers without medicalizing the entire narrative, and preventing trauma-related testimonial form from being misread as unreliability.</w:t>
      </w:r>
    </w:p>
    <w:p w14:paraId="5580B4A7" w14:textId="77777777" w:rsidR="00E3316C" w:rsidRPr="00E40C5D" w:rsidRDefault="00000000">
      <w:pPr>
        <w:pStyle w:val="Heading3"/>
        <w:rPr>
          <w:rFonts w:ascii="Garamond" w:hAnsi="Garamond"/>
          <w:color w:val="000000" w:themeColor="text1"/>
          <w:sz w:val="24"/>
          <w:szCs w:val="24"/>
        </w:rPr>
      </w:pPr>
      <w:proofErr w:type="gramStart"/>
      <w:r w:rsidRPr="00E40C5D">
        <w:rPr>
          <w:rFonts w:ascii="Garamond" w:hAnsi="Garamond"/>
          <w:color w:val="000000" w:themeColor="text1"/>
          <w:sz w:val="24"/>
          <w:szCs w:val="24"/>
        </w:rPr>
        <w:t>1.4  Structural</w:t>
      </w:r>
      <w:proofErr w:type="gramEnd"/>
      <w:r w:rsidRPr="00E40C5D">
        <w:rPr>
          <w:rFonts w:ascii="Garamond" w:hAnsi="Garamond"/>
          <w:color w:val="000000" w:themeColor="text1"/>
          <w:sz w:val="24"/>
          <w:szCs w:val="24"/>
        </w:rPr>
        <w:t xml:space="preserve"> Context and Acculturative Stress</w:t>
      </w:r>
    </w:p>
    <w:p w14:paraId="459F6134" w14:textId="77777777" w:rsidR="00E3316C" w:rsidRPr="00E40C5D" w:rsidRDefault="00000000">
      <w:pPr>
        <w:spacing w:after="120"/>
        <w:rPr>
          <w:rFonts w:ascii="Garamond" w:hAnsi="Garamond"/>
          <w:color w:val="000000" w:themeColor="text1"/>
          <w:sz w:val="24"/>
          <w:szCs w:val="24"/>
        </w:rPr>
      </w:pPr>
      <w:r w:rsidRPr="00E40C5D">
        <w:rPr>
          <w:rFonts w:ascii="Garamond" w:hAnsi="Garamond"/>
          <w:color w:val="000000" w:themeColor="text1"/>
          <w:sz w:val="24"/>
          <w:szCs w:val="24"/>
        </w:rPr>
        <w:t xml:space="preserve">The acculturative stress and structural competence literature makes that methodological shift possible by relocating narrative difficulty from individual deficit to social context. Berry's (1997) model of acculturation, extended by Bhugra (2004) and </w:t>
      </w:r>
      <w:proofErr w:type="spellStart"/>
      <w:r w:rsidRPr="00E40C5D">
        <w:rPr>
          <w:rFonts w:ascii="Garamond" w:hAnsi="Garamond"/>
          <w:color w:val="000000" w:themeColor="text1"/>
          <w:sz w:val="24"/>
          <w:szCs w:val="24"/>
        </w:rPr>
        <w:t>Yakushko</w:t>
      </w:r>
      <w:proofErr w:type="spellEnd"/>
      <w:r w:rsidRPr="00E40C5D">
        <w:rPr>
          <w:rFonts w:ascii="Garamond" w:hAnsi="Garamond"/>
          <w:color w:val="000000" w:themeColor="text1"/>
          <w:sz w:val="24"/>
          <w:szCs w:val="24"/>
        </w:rPr>
        <w:t xml:space="preserve"> et al. (2008), demonstrates that migration reorganizes identity, coping, and social position under compounding stress. More recent work with refugee-serving professionals shows that trauma-informed practice fails when detached from legal precarity, poverty, racism, gendered vulnerability, and language exclusion (</w:t>
      </w:r>
      <w:proofErr w:type="spellStart"/>
      <w:r w:rsidRPr="00E40C5D">
        <w:rPr>
          <w:rFonts w:ascii="Garamond" w:hAnsi="Garamond"/>
          <w:color w:val="000000" w:themeColor="text1"/>
          <w:sz w:val="24"/>
          <w:szCs w:val="24"/>
        </w:rPr>
        <w:t>Im</w:t>
      </w:r>
      <w:proofErr w:type="spellEnd"/>
      <w:r w:rsidRPr="00E40C5D">
        <w:rPr>
          <w:rFonts w:ascii="Garamond" w:hAnsi="Garamond"/>
          <w:color w:val="000000" w:themeColor="text1"/>
          <w:sz w:val="24"/>
          <w:szCs w:val="24"/>
        </w:rPr>
        <w:t xml:space="preserve"> &amp; Swan, 2021; Ostrander et al., 2017). This is consequential for asylum law, where many apparently self-explanatory facts are structurally contextual. Failure to report harm to police may reflect prior experience of state collusion—not the absence of danger. Difficulty naming an exact date may reflect a life organized around seasons, elections, pregnancies, or periods of hiding rather than formal calendar time. Apparent delay in departure may reflect childcare obligations, debt, disability, or the absence of lawful exit options—not weak fear. The CIAS framework is valuable precisely because it presses beyond generic acculturation theory and directs practitioners to read testimony through four intersecting domains—U.S. climate, developmental context, economic context, and cultural context—as a disciplined corrective to the decontextualized </w:t>
      </w:r>
      <w:proofErr w:type="gramStart"/>
      <w:r w:rsidRPr="00E40C5D">
        <w:rPr>
          <w:rFonts w:ascii="Garamond" w:hAnsi="Garamond"/>
          <w:color w:val="000000" w:themeColor="text1"/>
          <w:sz w:val="24"/>
          <w:szCs w:val="24"/>
        </w:rPr>
        <w:t>manner in which</w:t>
      </w:r>
      <w:proofErr w:type="gramEnd"/>
      <w:r w:rsidRPr="00E40C5D">
        <w:rPr>
          <w:rFonts w:ascii="Garamond" w:hAnsi="Garamond"/>
          <w:color w:val="000000" w:themeColor="text1"/>
          <w:sz w:val="24"/>
          <w:szCs w:val="24"/>
        </w:rPr>
        <w:t xml:space="preserve"> asylum narratives are too often assessed.</w:t>
      </w:r>
    </w:p>
    <w:p w14:paraId="0E60EF5F" w14:textId="77777777" w:rsidR="00E3316C" w:rsidRPr="00E40C5D" w:rsidRDefault="00E3316C">
      <w:pPr>
        <w:spacing w:before="60" w:after="60"/>
        <w:rPr>
          <w:rFonts w:ascii="Garamond" w:hAnsi="Garamond"/>
          <w:color w:val="000000" w:themeColor="text1"/>
          <w:sz w:val="24"/>
          <w:szCs w:val="24"/>
        </w:rPr>
      </w:pPr>
    </w:p>
    <w:p w14:paraId="37CBBD12" w14:textId="77777777" w:rsidR="00E3316C" w:rsidRPr="00E40C5D" w:rsidRDefault="00000000">
      <w:pPr>
        <w:pStyle w:val="Heading3"/>
        <w:rPr>
          <w:rFonts w:ascii="Garamond" w:hAnsi="Garamond"/>
          <w:color w:val="000000" w:themeColor="text1"/>
          <w:sz w:val="24"/>
          <w:szCs w:val="24"/>
        </w:rPr>
      </w:pPr>
      <w:proofErr w:type="gramStart"/>
      <w:r w:rsidRPr="00E40C5D">
        <w:rPr>
          <w:rFonts w:ascii="Garamond" w:hAnsi="Garamond"/>
          <w:color w:val="000000" w:themeColor="text1"/>
          <w:sz w:val="24"/>
          <w:szCs w:val="24"/>
        </w:rPr>
        <w:t>1.5  Resilience</w:t>
      </w:r>
      <w:proofErr w:type="gramEnd"/>
      <w:r w:rsidRPr="00E40C5D">
        <w:rPr>
          <w:rFonts w:ascii="Garamond" w:hAnsi="Garamond"/>
          <w:color w:val="000000" w:themeColor="text1"/>
          <w:sz w:val="24"/>
          <w:szCs w:val="24"/>
        </w:rPr>
        <w:t>, Testimonial Form, and the Case for a CIAS-Based Toolkit</w:t>
      </w:r>
    </w:p>
    <w:p w14:paraId="1E211FCD" w14:textId="77777777" w:rsidR="00E3316C" w:rsidRPr="00E40C5D" w:rsidRDefault="00000000">
      <w:pPr>
        <w:spacing w:after="120"/>
        <w:rPr>
          <w:rFonts w:ascii="Garamond" w:hAnsi="Garamond"/>
          <w:color w:val="000000" w:themeColor="text1"/>
          <w:sz w:val="24"/>
          <w:szCs w:val="24"/>
        </w:rPr>
      </w:pPr>
      <w:r w:rsidRPr="00E40C5D">
        <w:rPr>
          <w:rFonts w:ascii="Garamond" w:hAnsi="Garamond"/>
          <w:color w:val="000000" w:themeColor="text1"/>
          <w:sz w:val="24"/>
          <w:szCs w:val="24"/>
        </w:rPr>
        <w:t xml:space="preserve">Resilience and credibility research reinforce this argument by showing that asylum narratives are shaped not only by trauma but also by survival. Ungar (2011) reconceptualizes resilience as a social-ecological process rather than an individual trait—a distinction with direct implications for asylum documentation. A client who continues to work, care for children, or remain active in community life is not disproving trauma; such functioning may reflect culturally mediated endurance, obligation, and survival strategy. The testimonial-form literature further demonstrates that documentation is shaped by repetition, language, and interpretation. Repeated interviews can produce discrepancies in peripheral detail without deception, and the risk increases as time passes and trauma symptoms remain active (Herlihy et al., 2002; Herlihy &amp; Turner, 2015). Autobiographical recall is language-dependent: changing the language of an interview can alter which memories are most accessible (Marian &amp; Neisser, 2000). Non-native speakers may be judged less credible even when equally accurate, meaning that speech hesitation, low confidence, or reduced fluency should not serve as proxies for deceit (Raver et al., 2023). Interpreter-mediated encounters can compress or distort meaning in ways that alter the official record itself (Mellinger &amp; </w:t>
      </w:r>
      <w:proofErr w:type="spellStart"/>
      <w:r w:rsidRPr="00E40C5D">
        <w:rPr>
          <w:rFonts w:ascii="Garamond" w:hAnsi="Garamond"/>
          <w:color w:val="000000" w:themeColor="text1"/>
          <w:sz w:val="24"/>
          <w:szCs w:val="24"/>
        </w:rPr>
        <w:t>Dadhania</w:t>
      </w:r>
      <w:proofErr w:type="spellEnd"/>
      <w:r w:rsidRPr="00E40C5D">
        <w:rPr>
          <w:rFonts w:ascii="Garamond" w:hAnsi="Garamond"/>
          <w:color w:val="000000" w:themeColor="text1"/>
          <w:sz w:val="24"/>
          <w:szCs w:val="24"/>
        </w:rPr>
        <w:t>, 2025; Ottosson et al., 2024).</w:t>
      </w:r>
    </w:p>
    <w:p w14:paraId="77CDC127" w14:textId="77777777" w:rsidR="00E3316C" w:rsidRPr="00E40C5D" w:rsidRDefault="00000000">
      <w:pPr>
        <w:spacing w:after="120"/>
        <w:rPr>
          <w:rFonts w:ascii="Garamond" w:hAnsi="Garamond"/>
          <w:color w:val="000000" w:themeColor="text1"/>
          <w:sz w:val="24"/>
          <w:szCs w:val="24"/>
        </w:rPr>
      </w:pPr>
      <w:r w:rsidRPr="00E40C5D">
        <w:rPr>
          <w:rFonts w:ascii="Garamond" w:hAnsi="Garamond"/>
          <w:color w:val="000000" w:themeColor="text1"/>
          <w:sz w:val="24"/>
          <w:szCs w:val="24"/>
        </w:rPr>
        <w:t xml:space="preserve">A CIAS-based toolkit is justified precisely because it translates this literature into practice architecture: contextual anchors instead of forced calendar precision; barrier-to-disclosure notes </w:t>
      </w:r>
      <w:r w:rsidRPr="00E40C5D">
        <w:rPr>
          <w:rFonts w:ascii="Garamond" w:hAnsi="Garamond"/>
          <w:color w:val="000000" w:themeColor="text1"/>
          <w:sz w:val="24"/>
          <w:szCs w:val="24"/>
        </w:rPr>
        <w:lastRenderedPageBreak/>
        <w:t>instead of unexplained omissions; interpreter observation logs instead of assumed linguistic transparency; and core-versus-peripheral discrepancy analysis instead of blanket inconsistency judgments. Its value lies not in collecting more information, but in interpreting existing information more responsibly. That is the scholarly and practical gap this toolkit is designed to fill.</w:t>
      </w:r>
    </w:p>
    <w:p w14:paraId="2B77F286" w14:textId="77777777" w:rsidR="00E3316C" w:rsidRPr="00102618" w:rsidRDefault="00E3316C">
      <w:pPr>
        <w:spacing w:before="60" w:after="60"/>
        <w:rPr>
          <w:rFonts w:ascii="Garamond" w:hAnsi="Garamond"/>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24"/>
      </w:tblGrid>
      <w:tr w:rsidR="00E3316C" w:rsidRPr="00102618" w14:paraId="2BC93270" w14:textId="77777777">
        <w:tc>
          <w:tcPr>
            <w:tcW w:w="9360" w:type="dxa"/>
            <w:tcBorders>
              <w:top w:val="dashSmallGap" w:sz="4" w:space="0" w:color="375623"/>
              <w:left w:val="dashSmallGap" w:sz="4" w:space="0" w:color="375623"/>
              <w:bottom w:val="dashSmallGap" w:sz="4" w:space="0" w:color="375623"/>
              <w:right w:val="dashSmallGap" w:sz="4" w:space="0" w:color="375623"/>
            </w:tcBorders>
            <w:shd w:val="clear" w:color="auto" w:fill="E2EFDA"/>
            <w:tcMar>
              <w:top w:w="120" w:type="dxa"/>
              <w:left w:w="160" w:type="dxa"/>
              <w:bottom w:w="120" w:type="dxa"/>
              <w:right w:w="160" w:type="dxa"/>
            </w:tcMar>
          </w:tcPr>
          <w:p w14:paraId="339FD42D" w14:textId="37310866" w:rsidR="00E3316C" w:rsidRPr="00102618" w:rsidRDefault="00E3316C">
            <w:pPr>
              <w:rPr>
                <w:rFonts w:ascii="Garamond" w:hAnsi="Garamond"/>
                <w:sz w:val="24"/>
                <w:szCs w:val="24"/>
              </w:rPr>
            </w:pPr>
          </w:p>
          <w:p w14:paraId="159B7F7E" w14:textId="1D11B2E9" w:rsidR="00E3316C" w:rsidRPr="00102618" w:rsidRDefault="00FE3655">
            <w:pPr>
              <w:spacing w:before="60" w:after="60"/>
              <w:rPr>
                <w:rFonts w:ascii="Garamond" w:hAnsi="Garamond"/>
                <w:sz w:val="24"/>
                <w:szCs w:val="24"/>
              </w:rPr>
            </w:pPr>
            <w:r w:rsidRPr="00102618">
              <w:rPr>
                <w:rFonts w:ascii="Garamond" w:hAnsi="Garamond"/>
                <w:noProof/>
                <w:sz w:val="24"/>
                <w:szCs w:val="24"/>
              </w:rPr>
              <w:drawing>
                <wp:inline distT="0" distB="0" distL="0" distR="0" wp14:anchorId="4B096917" wp14:editId="43116608">
                  <wp:extent cx="6035040" cy="38796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as_figure1.png"/>
                          <pic:cNvPicPr/>
                        </pic:nvPicPr>
                        <pic:blipFill>
                          <a:blip r:embed="rId5"/>
                          <a:stretch>
                            <a:fillRect/>
                          </a:stretch>
                        </pic:blipFill>
                        <pic:spPr>
                          <a:xfrm>
                            <a:off x="0" y="0"/>
                            <a:ext cx="6035040" cy="3879669"/>
                          </a:xfrm>
                          <a:prstGeom prst="rect">
                            <a:avLst/>
                          </a:prstGeom>
                        </pic:spPr>
                      </pic:pic>
                    </a:graphicData>
                  </a:graphic>
                </wp:inline>
              </w:drawing>
            </w:r>
          </w:p>
          <w:p w14:paraId="0976C0A5" w14:textId="4CFE8925" w:rsidR="00E3316C" w:rsidRPr="00102618" w:rsidRDefault="00FE3655" w:rsidP="00FE3655">
            <w:pPr>
              <w:pStyle w:val="CIASCaption"/>
              <w:rPr>
                <w:rFonts w:ascii="Garamond" w:hAnsi="Garamond"/>
                <w:sz w:val="24"/>
                <w:szCs w:val="24"/>
              </w:rPr>
            </w:pPr>
            <w:r w:rsidRPr="00102618">
              <w:rPr>
                <w:rFonts w:ascii="Garamond" w:hAnsi="Garamond"/>
                <w:sz w:val="24"/>
                <w:szCs w:val="24"/>
              </w:rPr>
              <w:t>Figure 1. CIAS organizes credibility-sensitive interpretation across four intersecting domains.</w:t>
            </w:r>
          </w:p>
        </w:tc>
      </w:tr>
    </w:tbl>
    <w:p w14:paraId="60A0CAE0" w14:textId="77777777" w:rsidR="00E3316C" w:rsidRPr="00102618" w:rsidRDefault="00000000">
      <w:pPr>
        <w:rPr>
          <w:rFonts w:ascii="Garamond" w:hAnsi="Garamond"/>
          <w:sz w:val="24"/>
          <w:szCs w:val="24"/>
        </w:rPr>
      </w:pPr>
      <w:r w:rsidRPr="00102618">
        <w:rPr>
          <w:rFonts w:ascii="Garamond" w:hAnsi="Garamond"/>
          <w:sz w:val="24"/>
          <w:szCs w:val="24"/>
        </w:rPr>
        <w:br w:type="page"/>
      </w:r>
    </w:p>
    <w:p w14:paraId="1393EB90" w14:textId="77777777" w:rsidR="00E3316C" w:rsidRPr="00E40C5D" w:rsidRDefault="00000000">
      <w:pPr>
        <w:pStyle w:val="Heading2"/>
        <w:pBdr>
          <w:bottom w:val="single" w:sz="6" w:space="1" w:color="2E75B6"/>
        </w:pBdr>
        <w:rPr>
          <w:rFonts w:ascii="Garamond" w:hAnsi="Garamond"/>
          <w:color w:val="000000" w:themeColor="text1"/>
          <w:sz w:val="24"/>
          <w:szCs w:val="24"/>
        </w:rPr>
      </w:pPr>
      <w:r w:rsidRPr="00E40C5D">
        <w:rPr>
          <w:rFonts w:ascii="Garamond" w:hAnsi="Garamond"/>
          <w:color w:val="000000" w:themeColor="text1"/>
          <w:sz w:val="24"/>
          <w:szCs w:val="24"/>
        </w:rPr>
        <w:lastRenderedPageBreak/>
        <w:t>Section 2. Methodology and Analytic Process</w:t>
      </w:r>
    </w:p>
    <w:p w14:paraId="2CC0B447" w14:textId="77777777" w:rsidR="00E3316C" w:rsidRPr="00102618" w:rsidRDefault="00000000">
      <w:pPr>
        <w:spacing w:after="120"/>
        <w:rPr>
          <w:rFonts w:ascii="Garamond" w:hAnsi="Garamond"/>
          <w:sz w:val="24"/>
          <w:szCs w:val="24"/>
        </w:rPr>
      </w:pPr>
      <w:r w:rsidRPr="00102618">
        <w:rPr>
          <w:rFonts w:ascii="Garamond" w:hAnsi="Garamond"/>
          <w:sz w:val="24"/>
          <w:szCs w:val="24"/>
        </w:rPr>
        <w:t>This section documents the design, data sources, and analytic process underlying the CIAS Practitioner Toolkit. As documented in Table 1 (Feedback Tracker and Toolkit Revision Matrix), development has been structured around identifiable feedback domains, explicit implications for practice, and corresponding toolkit revisions—not ad hoc editorial decisions.</w:t>
      </w:r>
    </w:p>
    <w:p w14:paraId="77D0CDC6" w14:textId="77777777" w:rsidR="00E3316C" w:rsidRPr="00102618" w:rsidRDefault="00E3316C">
      <w:pPr>
        <w:spacing w:before="60" w:after="60"/>
        <w:rPr>
          <w:rFonts w:ascii="Garamond" w:hAnsi="Garamond"/>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80"/>
      </w:tblGrid>
      <w:tr w:rsidR="00E3316C" w:rsidRPr="00102618" w14:paraId="43AC2B10" w14:textId="77777777">
        <w:tc>
          <w:tcPr>
            <w:tcW w:w="9360" w:type="dxa"/>
            <w:tcBorders>
              <w:top w:val="dashSmallGap" w:sz="4" w:space="0" w:color="375623"/>
              <w:left w:val="dashSmallGap" w:sz="4" w:space="0" w:color="375623"/>
              <w:bottom w:val="dashSmallGap" w:sz="4" w:space="0" w:color="375623"/>
              <w:right w:val="dashSmallGap" w:sz="4" w:space="0" w:color="375623"/>
            </w:tcBorders>
            <w:shd w:val="clear" w:color="auto" w:fill="E2EFDA"/>
            <w:tcMar>
              <w:top w:w="120" w:type="dxa"/>
              <w:left w:w="160" w:type="dxa"/>
              <w:bottom w:w="120" w:type="dxa"/>
              <w:right w:w="160" w:type="dxa"/>
            </w:tcMar>
          </w:tcPr>
          <w:p w14:paraId="207317CC" w14:textId="1B265B93" w:rsidR="00E3316C" w:rsidRPr="00102618" w:rsidRDefault="00E40C5D" w:rsidP="00E40C5D">
            <w:pPr>
              <w:jc w:val="center"/>
              <w:rPr>
                <w:rFonts w:ascii="Garamond" w:hAnsi="Garamond"/>
                <w:sz w:val="24"/>
                <w:szCs w:val="24"/>
              </w:rPr>
            </w:pPr>
            <w:r>
              <w:rPr>
                <w:rFonts w:ascii="Garamond" w:hAnsi="Garamond"/>
                <w:b/>
                <w:bCs/>
                <w:sz w:val="24"/>
                <w:szCs w:val="24"/>
              </w:rPr>
              <w:t xml:space="preserve">Figure 2. </w:t>
            </w:r>
            <w:r w:rsidRPr="00102618">
              <w:rPr>
                <w:rFonts w:ascii="Garamond" w:hAnsi="Garamond"/>
                <w:b/>
                <w:bCs/>
                <w:sz w:val="24"/>
                <w:szCs w:val="24"/>
              </w:rPr>
              <w:t>Iterative Development Cycle Diagram</w:t>
            </w:r>
          </w:p>
          <w:p w14:paraId="7A64B21D" w14:textId="77777777" w:rsidR="00E3316C" w:rsidRPr="00102618" w:rsidRDefault="00E3316C">
            <w:pPr>
              <w:spacing w:before="60" w:after="60"/>
              <w:rPr>
                <w:rFonts w:ascii="Garamond" w:hAnsi="Garamond"/>
                <w:sz w:val="24"/>
                <w:szCs w:val="24"/>
              </w:rPr>
            </w:pPr>
          </w:p>
          <w:p w14:paraId="04120DE8" w14:textId="1A1E0F32" w:rsidR="00E3316C" w:rsidRPr="00102618" w:rsidRDefault="00E40C5D">
            <w:pPr>
              <w:rPr>
                <w:rFonts w:ascii="Garamond" w:hAnsi="Garamond"/>
                <w:sz w:val="24"/>
                <w:szCs w:val="24"/>
              </w:rPr>
            </w:pPr>
            <w:r>
              <w:rPr>
                <w:rFonts w:ascii="Garamond" w:hAnsi="Garamond"/>
                <w:noProof/>
                <w:sz w:val="24"/>
                <w:szCs w:val="24"/>
              </w:rPr>
              <w:drawing>
                <wp:inline distT="0" distB="0" distL="0" distR="0" wp14:anchorId="0E39A0A2" wp14:editId="0B802586">
                  <wp:extent cx="5943600" cy="3962400"/>
                  <wp:effectExtent l="0" t="0" r="0" b="0"/>
                  <wp:docPr id="9326386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638670" name="Picture 932638670"/>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tc>
      </w:tr>
    </w:tbl>
    <w:p w14:paraId="3EFCDDFA" w14:textId="77777777" w:rsidR="00E3316C" w:rsidRPr="00102618" w:rsidRDefault="00E3316C">
      <w:pPr>
        <w:spacing w:before="60" w:after="60"/>
        <w:rPr>
          <w:rFonts w:ascii="Garamond" w:hAnsi="Garamond"/>
          <w:sz w:val="24"/>
          <w:szCs w:val="24"/>
        </w:rPr>
      </w:pPr>
    </w:p>
    <w:p w14:paraId="05DC9F82" w14:textId="77777777" w:rsidR="00E3316C" w:rsidRPr="00E40C5D" w:rsidRDefault="00000000">
      <w:pPr>
        <w:pStyle w:val="Heading3"/>
        <w:rPr>
          <w:rFonts w:ascii="Garamond" w:hAnsi="Garamond"/>
          <w:color w:val="000000" w:themeColor="text1"/>
          <w:sz w:val="24"/>
          <w:szCs w:val="24"/>
        </w:rPr>
      </w:pPr>
      <w:proofErr w:type="gramStart"/>
      <w:r w:rsidRPr="00E40C5D">
        <w:rPr>
          <w:rFonts w:ascii="Garamond" w:hAnsi="Garamond"/>
          <w:color w:val="000000" w:themeColor="text1"/>
          <w:sz w:val="24"/>
          <w:szCs w:val="24"/>
        </w:rPr>
        <w:t>2.1  Design</w:t>
      </w:r>
      <w:proofErr w:type="gramEnd"/>
    </w:p>
    <w:p w14:paraId="7BDFEFFA" w14:textId="77777777" w:rsidR="00E3316C" w:rsidRPr="00E40C5D" w:rsidRDefault="00000000">
      <w:pPr>
        <w:spacing w:after="120"/>
        <w:rPr>
          <w:rFonts w:ascii="Garamond" w:hAnsi="Garamond"/>
          <w:color w:val="000000" w:themeColor="text1"/>
          <w:sz w:val="24"/>
          <w:szCs w:val="24"/>
        </w:rPr>
      </w:pPr>
      <w:r w:rsidRPr="00E40C5D">
        <w:rPr>
          <w:rFonts w:ascii="Garamond" w:hAnsi="Garamond"/>
          <w:color w:val="000000" w:themeColor="text1"/>
          <w:sz w:val="24"/>
          <w:szCs w:val="24"/>
        </w:rPr>
        <w:t>The CIAS Toolkit was developed through an iterative, community-engaged process informed by community-based participatory research principles. Development began with the CIAS framework as its conceptual foundation and progressed through repeated cycles of drafting, practitioner consultation, comparative toolkit review, student-supported evidence synthesis, and structured revision. The guiding design assumption was that a practitioner toolkit must do more than summarize theory: it must convert theory and empirical evidence into tools that fit real legal workflows, reduce interpretive error, and preserve client dignity in high-stakes interviewing contexts.</w:t>
      </w:r>
    </w:p>
    <w:p w14:paraId="59063B09" w14:textId="77777777" w:rsidR="00E3316C" w:rsidRPr="00E40C5D" w:rsidRDefault="00000000">
      <w:pPr>
        <w:spacing w:after="120"/>
        <w:rPr>
          <w:rFonts w:ascii="Garamond" w:hAnsi="Garamond"/>
          <w:color w:val="000000" w:themeColor="text1"/>
          <w:sz w:val="24"/>
          <w:szCs w:val="24"/>
        </w:rPr>
      </w:pPr>
      <w:r w:rsidRPr="00E40C5D">
        <w:rPr>
          <w:rFonts w:ascii="Garamond" w:hAnsi="Garamond"/>
          <w:color w:val="000000" w:themeColor="text1"/>
          <w:sz w:val="24"/>
          <w:szCs w:val="24"/>
        </w:rPr>
        <w:t xml:space="preserve">The design is simultaneously evidence-informed and co-developmental. It is evidence-informed insofar as it draws from research on trauma and autobiographical memory, delayed disclosure, language of encoding, interpreter mediation, developmental context, and credibility assessment. It is </w:t>
      </w:r>
      <w:r w:rsidRPr="00E40C5D">
        <w:rPr>
          <w:rFonts w:ascii="Garamond" w:hAnsi="Garamond"/>
          <w:color w:val="000000" w:themeColor="text1"/>
          <w:sz w:val="24"/>
          <w:szCs w:val="24"/>
        </w:rPr>
        <w:lastRenderedPageBreak/>
        <w:t>co-developmental insofar as workshop participants, student reviewers, and practicing professionals shaped the form, sequence, and usability of each component through structured feedback cycles. The methodology is therefore neither purely descriptive nor simply translational: it is iterative, revision-driven, and grounded in disciplined engagement with the practitioners this toolkit serves.</w:t>
      </w:r>
    </w:p>
    <w:p w14:paraId="5F13B3CA" w14:textId="77777777" w:rsidR="00E3316C" w:rsidRPr="00E40C5D" w:rsidRDefault="00E3316C">
      <w:pPr>
        <w:spacing w:before="60" w:after="60"/>
        <w:rPr>
          <w:rFonts w:ascii="Garamond" w:hAnsi="Garamond"/>
          <w:color w:val="000000" w:themeColor="text1"/>
          <w:sz w:val="24"/>
          <w:szCs w:val="24"/>
        </w:rPr>
      </w:pPr>
    </w:p>
    <w:p w14:paraId="11E53F53" w14:textId="77777777" w:rsidR="00E3316C" w:rsidRPr="00E40C5D" w:rsidRDefault="00000000">
      <w:pPr>
        <w:pStyle w:val="Heading3"/>
        <w:rPr>
          <w:rFonts w:ascii="Garamond" w:hAnsi="Garamond"/>
          <w:color w:val="000000" w:themeColor="text1"/>
          <w:sz w:val="24"/>
          <w:szCs w:val="24"/>
        </w:rPr>
      </w:pPr>
      <w:proofErr w:type="gramStart"/>
      <w:r w:rsidRPr="00E40C5D">
        <w:rPr>
          <w:rFonts w:ascii="Garamond" w:hAnsi="Garamond"/>
          <w:color w:val="000000" w:themeColor="text1"/>
          <w:sz w:val="24"/>
          <w:szCs w:val="24"/>
        </w:rPr>
        <w:t>2.2  Data</w:t>
      </w:r>
      <w:proofErr w:type="gramEnd"/>
      <w:r w:rsidRPr="00E40C5D">
        <w:rPr>
          <w:rFonts w:ascii="Garamond" w:hAnsi="Garamond"/>
          <w:color w:val="000000" w:themeColor="text1"/>
          <w:sz w:val="24"/>
          <w:szCs w:val="24"/>
        </w:rPr>
        <w:t xml:space="preserve"> Sources</w:t>
      </w:r>
    </w:p>
    <w:p w14:paraId="22BB1F0F" w14:textId="77777777" w:rsidR="00E3316C" w:rsidRPr="00E40C5D" w:rsidRDefault="00000000">
      <w:pPr>
        <w:spacing w:after="120"/>
        <w:rPr>
          <w:rFonts w:ascii="Garamond" w:hAnsi="Garamond"/>
          <w:color w:val="000000" w:themeColor="text1"/>
          <w:sz w:val="24"/>
          <w:szCs w:val="24"/>
        </w:rPr>
      </w:pPr>
      <w:r w:rsidRPr="00E40C5D">
        <w:rPr>
          <w:rFonts w:ascii="Garamond" w:hAnsi="Garamond"/>
          <w:color w:val="000000" w:themeColor="text1"/>
          <w:sz w:val="24"/>
          <w:szCs w:val="24"/>
        </w:rPr>
        <w:t>Four categories of input informed development. First, the toolkit is grounded in the CIAS framework and a targeted review of recent literature on trauma, disclosure, interpretation, and asylum credibility. Second, multiple internal drafts were reviewed and revised to test how well the conceptual model translated into legal-practice tools. Third, external comparative toolkits were analyzed for design and workflow features—including staged timelines, checklist logic, annotated examples, declaration guidance, and closure procedures—without adopting jurisdiction-specific language or branded content. Fourth, structured practitioner feedback was collected through presentations, workshop-style sessions, and interviews with immigration attorneys, social workers, and allied professionals.</w:t>
      </w:r>
    </w:p>
    <w:p w14:paraId="7FA335FF" w14:textId="77777777" w:rsidR="00E3316C" w:rsidRPr="00E40C5D" w:rsidRDefault="00000000">
      <w:pPr>
        <w:spacing w:after="120"/>
        <w:rPr>
          <w:rFonts w:ascii="Garamond" w:hAnsi="Garamond"/>
          <w:color w:val="000000" w:themeColor="text1"/>
          <w:sz w:val="24"/>
          <w:szCs w:val="24"/>
        </w:rPr>
      </w:pPr>
      <w:r w:rsidRPr="00E40C5D">
        <w:rPr>
          <w:rFonts w:ascii="Garamond" w:hAnsi="Garamond"/>
          <w:color w:val="000000" w:themeColor="text1"/>
          <w:sz w:val="24"/>
          <w:szCs w:val="24"/>
        </w:rPr>
        <w:t>These consultations generated substantive observations on intake overreach, late disclosure, non-linear narratives, interpreter distortion, corroboration challenges, nexus development, over-explained declarations, private-practice realities, and the need for clearer front-end explanation of the CIAS model. Student reviewers additionally identified needs for stronger professional architecture, clearer front matter, visual supports, practitioner reflection questions, youth-sensitive modifications, and more explicit writing guidance. Together, these inputs provided both conceptual and operational direction for revision.</w:t>
      </w:r>
    </w:p>
    <w:p w14:paraId="335B76A4" w14:textId="77777777" w:rsidR="00E3316C" w:rsidRPr="00E40C5D" w:rsidRDefault="00E3316C">
      <w:pPr>
        <w:spacing w:before="60" w:after="60"/>
        <w:rPr>
          <w:rFonts w:ascii="Garamond" w:hAnsi="Garamond"/>
          <w:color w:val="000000" w:themeColor="text1"/>
          <w:sz w:val="24"/>
          <w:szCs w:val="24"/>
        </w:rPr>
      </w:pPr>
    </w:p>
    <w:p w14:paraId="56E346EC" w14:textId="77777777" w:rsidR="00E3316C" w:rsidRPr="00E40C5D" w:rsidRDefault="00000000">
      <w:pPr>
        <w:pStyle w:val="Heading3"/>
        <w:rPr>
          <w:rFonts w:ascii="Garamond" w:hAnsi="Garamond"/>
          <w:color w:val="000000" w:themeColor="text1"/>
          <w:sz w:val="24"/>
          <w:szCs w:val="24"/>
        </w:rPr>
      </w:pPr>
      <w:proofErr w:type="gramStart"/>
      <w:r w:rsidRPr="00E40C5D">
        <w:rPr>
          <w:rFonts w:ascii="Garamond" w:hAnsi="Garamond"/>
          <w:color w:val="000000" w:themeColor="text1"/>
          <w:sz w:val="24"/>
          <w:szCs w:val="24"/>
        </w:rPr>
        <w:t>2.3  Analytic</w:t>
      </w:r>
      <w:proofErr w:type="gramEnd"/>
      <w:r w:rsidRPr="00E40C5D">
        <w:rPr>
          <w:rFonts w:ascii="Garamond" w:hAnsi="Garamond"/>
          <w:color w:val="000000" w:themeColor="text1"/>
          <w:sz w:val="24"/>
          <w:szCs w:val="24"/>
        </w:rPr>
        <w:t xml:space="preserve"> Process</w:t>
      </w:r>
    </w:p>
    <w:p w14:paraId="6824A14D" w14:textId="77777777" w:rsidR="00E3316C" w:rsidRPr="00E40C5D" w:rsidRDefault="00000000">
      <w:pPr>
        <w:spacing w:after="120"/>
        <w:rPr>
          <w:rFonts w:ascii="Garamond" w:hAnsi="Garamond"/>
          <w:color w:val="000000" w:themeColor="text1"/>
          <w:sz w:val="24"/>
          <w:szCs w:val="24"/>
        </w:rPr>
      </w:pPr>
      <w:r w:rsidRPr="00E40C5D">
        <w:rPr>
          <w:rFonts w:ascii="Garamond" w:hAnsi="Garamond"/>
          <w:color w:val="000000" w:themeColor="text1"/>
          <w:sz w:val="24"/>
          <w:szCs w:val="24"/>
        </w:rPr>
        <w:t>The analytic process was structured around iterative synthesis and translation. Feedback and evidence were first organized in a master tracking system, then coded by domain, source, practice significance, affected toolkit section, and required action. This approach enabled the project to move from raw commentary to disciplined revision decisions. Rather than treating all feedback as equivalent, comments were sorted into high-, medium-, and lower-priority categories based on their implications for the toolkit's core legal utility, credibility protections, workflow feasibility, and interdisciplinary clarity.</w:t>
      </w:r>
    </w:p>
    <w:p w14:paraId="604CF172" w14:textId="77777777" w:rsidR="00E3316C" w:rsidRPr="00E40C5D" w:rsidRDefault="00000000">
      <w:pPr>
        <w:spacing w:after="120"/>
        <w:rPr>
          <w:rFonts w:ascii="Garamond" w:hAnsi="Garamond"/>
          <w:color w:val="000000" w:themeColor="text1"/>
          <w:sz w:val="24"/>
          <w:szCs w:val="24"/>
        </w:rPr>
      </w:pPr>
      <w:r w:rsidRPr="00E40C5D">
        <w:rPr>
          <w:rFonts w:ascii="Garamond" w:hAnsi="Garamond"/>
          <w:color w:val="000000" w:themeColor="text1"/>
          <w:sz w:val="24"/>
          <w:szCs w:val="24"/>
        </w:rPr>
        <w:t>This process is documented in Table 1, which serves as both an audit trail and a revision matrix. It demonstrates how practitioner observations, student review, and comparative toolkit analysis were translated into concrete changes. Comments on intake overreach were mapped to revisions in the intake triage tool; observations about vague actors, over-explained declarations, and weak nexus development were mapped to the affidavit-review section; concerns about interpreter mediation were mapped to meaning-check prompts and interpreter guidance. Table 1 thus documents the methodological bridge between feedback and revision.</w:t>
      </w:r>
    </w:p>
    <w:p w14:paraId="02D78087" w14:textId="77777777" w:rsidR="00E3316C" w:rsidRPr="00E40C5D" w:rsidRDefault="00000000">
      <w:pPr>
        <w:spacing w:after="120"/>
        <w:rPr>
          <w:rFonts w:ascii="Garamond" w:hAnsi="Garamond"/>
          <w:color w:val="000000" w:themeColor="text1"/>
          <w:sz w:val="24"/>
          <w:szCs w:val="24"/>
        </w:rPr>
      </w:pPr>
      <w:r w:rsidRPr="00E40C5D">
        <w:rPr>
          <w:rFonts w:ascii="Garamond" w:hAnsi="Garamond"/>
          <w:color w:val="000000" w:themeColor="text1"/>
          <w:sz w:val="24"/>
          <w:szCs w:val="24"/>
        </w:rPr>
        <w:t xml:space="preserve">A second analytic step distinguished between feedback warranting direct integration—stop rules, chronology anchors, visual supports, practitioner reflection prompts, post-session logs—and feedback retained as structural influence rather than copied content, such as the staged timeline logic and common-issues architecture identified in comparative toolkits. This distinction preserves CIAS </w:t>
      </w:r>
      <w:r w:rsidRPr="00E40C5D">
        <w:rPr>
          <w:rFonts w:ascii="Garamond" w:hAnsi="Garamond"/>
          <w:color w:val="000000" w:themeColor="text1"/>
          <w:sz w:val="24"/>
          <w:szCs w:val="24"/>
        </w:rPr>
        <w:lastRenderedPageBreak/>
        <w:t>as the primary conceptual and organizational lens while allowing the toolkit to benefit from external design innovations.</w:t>
      </w:r>
    </w:p>
    <w:p w14:paraId="206A73EA" w14:textId="77777777" w:rsidR="00E3316C" w:rsidRPr="00E40C5D" w:rsidRDefault="00E3316C">
      <w:pPr>
        <w:spacing w:before="60" w:after="60"/>
        <w:rPr>
          <w:rFonts w:ascii="Garamond" w:hAnsi="Garamond"/>
          <w:color w:val="000000" w:themeColor="text1"/>
          <w:sz w:val="24"/>
          <w:szCs w:val="24"/>
        </w:rPr>
      </w:pPr>
    </w:p>
    <w:p w14:paraId="2EEDACAE" w14:textId="77777777" w:rsidR="00E3316C" w:rsidRPr="00E40C5D" w:rsidRDefault="00000000">
      <w:pPr>
        <w:pStyle w:val="Heading3"/>
        <w:rPr>
          <w:rFonts w:ascii="Garamond" w:hAnsi="Garamond"/>
          <w:color w:val="000000" w:themeColor="text1"/>
          <w:sz w:val="24"/>
          <w:szCs w:val="24"/>
        </w:rPr>
      </w:pPr>
      <w:proofErr w:type="gramStart"/>
      <w:r w:rsidRPr="00E40C5D">
        <w:rPr>
          <w:rFonts w:ascii="Garamond" w:hAnsi="Garamond"/>
          <w:color w:val="000000" w:themeColor="text1"/>
          <w:sz w:val="24"/>
          <w:szCs w:val="24"/>
        </w:rPr>
        <w:t>2.4  Next</w:t>
      </w:r>
      <w:proofErr w:type="gramEnd"/>
      <w:r w:rsidRPr="00E40C5D">
        <w:rPr>
          <w:rFonts w:ascii="Garamond" w:hAnsi="Garamond"/>
          <w:color w:val="000000" w:themeColor="text1"/>
          <w:sz w:val="24"/>
          <w:szCs w:val="24"/>
        </w:rPr>
        <w:t xml:space="preserve"> Phase</w:t>
      </w:r>
    </w:p>
    <w:p w14:paraId="3C43D11E" w14:textId="30127BB7" w:rsidR="00102618" w:rsidRPr="00E40C5D" w:rsidRDefault="00000000" w:rsidP="00E40C5D">
      <w:pPr>
        <w:spacing w:after="120"/>
        <w:rPr>
          <w:rFonts w:ascii="Garamond" w:hAnsi="Garamond"/>
          <w:color w:val="000000" w:themeColor="text1"/>
          <w:sz w:val="24"/>
          <w:szCs w:val="24"/>
        </w:rPr>
      </w:pPr>
      <w:r w:rsidRPr="00E40C5D">
        <w:rPr>
          <w:rFonts w:ascii="Garamond" w:hAnsi="Garamond"/>
          <w:color w:val="000000" w:themeColor="text1"/>
          <w:sz w:val="24"/>
          <w:szCs w:val="24"/>
        </w:rPr>
        <w:t>Subsequent phases will continue the same iterative methodology. Additional feedback will be solicited through focus groups and individual interviews with social workers, immigration attorneys, and other interdisciplinary stakeholders. These consultations will enable more systematic assessment of toolkit performance across practice settings, including legal aid, private practice, team-based representation, and time-constrained contexts involving detained clients. Future refinement will examine which components perform best in live practice—including visual supports, chronology aids, interpreter checks, and affidavit-review tools—and will assess usability, burden, and practical fit across these settings.</w:t>
      </w:r>
    </w:p>
    <w:p w14:paraId="107D9B5C" w14:textId="77777777" w:rsidR="00E3316C" w:rsidRPr="00E40C5D" w:rsidRDefault="00000000">
      <w:pPr>
        <w:pStyle w:val="Heading3"/>
        <w:rPr>
          <w:rFonts w:ascii="Garamond" w:hAnsi="Garamond"/>
          <w:color w:val="000000" w:themeColor="text1"/>
          <w:sz w:val="24"/>
          <w:szCs w:val="24"/>
        </w:rPr>
      </w:pPr>
      <w:proofErr w:type="gramStart"/>
      <w:r w:rsidRPr="00E40C5D">
        <w:rPr>
          <w:rFonts w:ascii="Garamond" w:hAnsi="Garamond"/>
          <w:color w:val="000000" w:themeColor="text1"/>
          <w:sz w:val="24"/>
          <w:szCs w:val="24"/>
        </w:rPr>
        <w:t>2.5  Table</w:t>
      </w:r>
      <w:proofErr w:type="gramEnd"/>
      <w:r w:rsidRPr="00E40C5D">
        <w:rPr>
          <w:rFonts w:ascii="Garamond" w:hAnsi="Garamond"/>
          <w:color w:val="000000" w:themeColor="text1"/>
          <w:sz w:val="24"/>
          <w:szCs w:val="24"/>
        </w:rPr>
        <w:t xml:space="preserve"> 1. Feedback Tracker and Toolkit Revision Matrix</w:t>
      </w:r>
    </w:p>
    <w:p w14:paraId="3DBDD185" w14:textId="77777777" w:rsidR="00E3316C" w:rsidRPr="00102618" w:rsidRDefault="00E3316C">
      <w:pPr>
        <w:spacing w:before="60" w:after="60"/>
        <w:rPr>
          <w:rFonts w:ascii="Garamond" w:hAnsi="Garamond"/>
          <w:sz w:val="24"/>
          <w:szCs w:val="24"/>
        </w:rPr>
      </w:pPr>
    </w:p>
    <w:tbl>
      <w:tblPr>
        <w:tblW w:w="1008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250"/>
        <w:gridCol w:w="2855"/>
        <w:gridCol w:w="2640"/>
      </w:tblGrid>
      <w:tr w:rsidR="00E3316C" w:rsidRPr="00102618" w14:paraId="1A183AEC" w14:textId="77777777" w:rsidTr="00102618">
        <w:trPr>
          <w:tblHeader/>
        </w:trPr>
        <w:tc>
          <w:tcPr>
            <w:tcW w:w="234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361B9E87" w14:textId="77777777" w:rsidR="00E3316C" w:rsidRPr="00102618" w:rsidRDefault="00000000">
            <w:pPr>
              <w:rPr>
                <w:rFonts w:ascii="Garamond" w:hAnsi="Garamond"/>
                <w:sz w:val="24"/>
                <w:szCs w:val="24"/>
              </w:rPr>
            </w:pPr>
            <w:r w:rsidRPr="00102618">
              <w:rPr>
                <w:rFonts w:ascii="Garamond" w:hAnsi="Garamond"/>
                <w:b/>
                <w:bCs/>
                <w:color w:val="FFFFFF"/>
                <w:sz w:val="24"/>
                <w:szCs w:val="24"/>
              </w:rPr>
              <w:t>Feedback Domain</w:t>
            </w:r>
          </w:p>
        </w:tc>
        <w:tc>
          <w:tcPr>
            <w:tcW w:w="225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5C9D7842" w14:textId="77777777" w:rsidR="00E3316C" w:rsidRPr="00102618" w:rsidRDefault="00000000">
            <w:pPr>
              <w:rPr>
                <w:rFonts w:ascii="Garamond" w:hAnsi="Garamond"/>
                <w:sz w:val="24"/>
                <w:szCs w:val="24"/>
              </w:rPr>
            </w:pPr>
            <w:r w:rsidRPr="00102618">
              <w:rPr>
                <w:rFonts w:ascii="Garamond" w:hAnsi="Garamond"/>
                <w:b/>
                <w:bCs/>
                <w:color w:val="FFFFFF"/>
                <w:sz w:val="24"/>
                <w:szCs w:val="24"/>
              </w:rPr>
              <w:t>Evidence Inputs</w:t>
            </w:r>
          </w:p>
        </w:tc>
        <w:tc>
          <w:tcPr>
            <w:tcW w:w="2855"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201B664D" w14:textId="77777777" w:rsidR="00E3316C" w:rsidRPr="00102618" w:rsidRDefault="00000000">
            <w:pPr>
              <w:rPr>
                <w:rFonts w:ascii="Garamond" w:hAnsi="Garamond"/>
                <w:sz w:val="24"/>
                <w:szCs w:val="24"/>
              </w:rPr>
            </w:pPr>
            <w:r w:rsidRPr="00102618">
              <w:rPr>
                <w:rFonts w:ascii="Garamond" w:hAnsi="Garamond"/>
                <w:b/>
                <w:bCs/>
                <w:color w:val="FFFFFF"/>
                <w:sz w:val="24"/>
                <w:szCs w:val="24"/>
              </w:rPr>
              <w:t>Analytic Finding</w:t>
            </w:r>
          </w:p>
        </w:tc>
        <w:tc>
          <w:tcPr>
            <w:tcW w:w="264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56306825" w14:textId="77777777" w:rsidR="00E3316C" w:rsidRPr="00102618" w:rsidRDefault="00000000">
            <w:pPr>
              <w:rPr>
                <w:rFonts w:ascii="Garamond" w:hAnsi="Garamond"/>
                <w:sz w:val="24"/>
                <w:szCs w:val="24"/>
              </w:rPr>
            </w:pPr>
            <w:r w:rsidRPr="00102618">
              <w:rPr>
                <w:rFonts w:ascii="Garamond" w:hAnsi="Garamond"/>
                <w:b/>
                <w:bCs/>
                <w:color w:val="FFFFFF"/>
                <w:sz w:val="24"/>
                <w:szCs w:val="24"/>
              </w:rPr>
              <w:t>Toolkit Action / Status</w:t>
            </w:r>
          </w:p>
        </w:tc>
      </w:tr>
      <w:tr w:rsidR="00E3316C" w:rsidRPr="00102618" w14:paraId="4EA251A2" w14:textId="77777777" w:rsidTr="00102618">
        <w:tc>
          <w:tcPr>
            <w:tcW w:w="23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E991D4B" w14:textId="77777777" w:rsidR="00E3316C" w:rsidRPr="00102618" w:rsidRDefault="00000000">
            <w:pPr>
              <w:rPr>
                <w:rFonts w:ascii="Garamond" w:hAnsi="Garamond"/>
                <w:sz w:val="24"/>
                <w:szCs w:val="24"/>
              </w:rPr>
            </w:pPr>
            <w:r w:rsidRPr="00102618">
              <w:rPr>
                <w:rFonts w:ascii="Garamond" w:hAnsi="Garamond"/>
                <w:sz w:val="24"/>
                <w:szCs w:val="24"/>
              </w:rPr>
              <w:t>Front-end clarity and framework explanation</w:t>
            </w:r>
          </w:p>
        </w:tc>
        <w:tc>
          <w:tcPr>
            <w:tcW w:w="225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43058A82" w14:textId="77777777" w:rsidR="00E3316C" w:rsidRPr="00102618" w:rsidRDefault="00000000">
            <w:pPr>
              <w:rPr>
                <w:rFonts w:ascii="Garamond" w:hAnsi="Garamond"/>
                <w:sz w:val="24"/>
                <w:szCs w:val="24"/>
              </w:rPr>
            </w:pPr>
            <w:r w:rsidRPr="00102618">
              <w:rPr>
                <w:rFonts w:ascii="Garamond" w:hAnsi="Garamond"/>
                <w:sz w:val="24"/>
                <w:szCs w:val="24"/>
              </w:rPr>
              <w:t>Student synthesis; practitioner workshops; existing CIAS drafts</w:t>
            </w:r>
          </w:p>
        </w:tc>
        <w:tc>
          <w:tcPr>
            <w:tcW w:w="285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469F62E9" w14:textId="77777777" w:rsidR="00E3316C" w:rsidRPr="00102618" w:rsidRDefault="00000000">
            <w:pPr>
              <w:rPr>
                <w:rFonts w:ascii="Garamond" w:hAnsi="Garamond"/>
                <w:sz w:val="24"/>
                <w:szCs w:val="24"/>
              </w:rPr>
            </w:pPr>
            <w:r w:rsidRPr="00102618">
              <w:rPr>
                <w:rFonts w:ascii="Garamond" w:hAnsi="Garamond"/>
                <w:sz w:val="24"/>
                <w:szCs w:val="24"/>
              </w:rPr>
              <w:t>CIAS needed a clearer front-end explanation, stronger table of contents, and more explicit statement of legal relevance.</w:t>
            </w:r>
          </w:p>
        </w:tc>
        <w:tc>
          <w:tcPr>
            <w:tcW w:w="26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6BA25BA2" w14:textId="77777777" w:rsidR="00E3316C" w:rsidRPr="00102618" w:rsidRDefault="00000000">
            <w:pPr>
              <w:rPr>
                <w:rFonts w:ascii="Garamond" w:hAnsi="Garamond"/>
                <w:sz w:val="24"/>
                <w:szCs w:val="24"/>
              </w:rPr>
            </w:pPr>
            <w:r w:rsidRPr="00102618">
              <w:rPr>
                <w:rFonts w:ascii="Garamond" w:hAnsi="Garamond"/>
                <w:sz w:val="24"/>
                <w:szCs w:val="24"/>
              </w:rPr>
              <w:t>Expanded CIAS overview, clearer front matter, stronger navigation, and sharper statement of how the framework should be used in legal practice.</w:t>
            </w:r>
          </w:p>
        </w:tc>
      </w:tr>
      <w:tr w:rsidR="00E3316C" w:rsidRPr="00102618" w14:paraId="3CCD5C5B" w14:textId="77777777" w:rsidTr="00102618">
        <w:tc>
          <w:tcPr>
            <w:tcW w:w="23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44229063" w14:textId="77777777" w:rsidR="00E3316C" w:rsidRPr="00102618" w:rsidRDefault="00000000">
            <w:pPr>
              <w:rPr>
                <w:rFonts w:ascii="Garamond" w:hAnsi="Garamond"/>
                <w:sz w:val="24"/>
                <w:szCs w:val="24"/>
              </w:rPr>
            </w:pPr>
            <w:r w:rsidRPr="00102618">
              <w:rPr>
                <w:rFonts w:ascii="Garamond" w:hAnsi="Garamond"/>
                <w:sz w:val="24"/>
                <w:szCs w:val="24"/>
              </w:rPr>
              <w:t>Intake scope and early interviewing</w:t>
            </w:r>
          </w:p>
        </w:tc>
        <w:tc>
          <w:tcPr>
            <w:tcW w:w="225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7D0A0C50" w14:textId="77777777" w:rsidR="00E3316C" w:rsidRPr="00102618" w:rsidRDefault="00000000">
            <w:pPr>
              <w:rPr>
                <w:rFonts w:ascii="Garamond" w:hAnsi="Garamond"/>
                <w:sz w:val="24"/>
                <w:szCs w:val="24"/>
              </w:rPr>
            </w:pPr>
            <w:r w:rsidRPr="00102618">
              <w:rPr>
                <w:rFonts w:ascii="Garamond" w:hAnsi="Garamond"/>
                <w:sz w:val="24"/>
                <w:szCs w:val="24"/>
              </w:rPr>
              <w:t>Practitioner workshop feedback; trauma/disclosure literature</w:t>
            </w:r>
          </w:p>
        </w:tc>
        <w:tc>
          <w:tcPr>
            <w:tcW w:w="2855"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05875DEA" w14:textId="77777777" w:rsidR="00E3316C" w:rsidRPr="00102618" w:rsidRDefault="00000000">
            <w:pPr>
              <w:rPr>
                <w:rFonts w:ascii="Garamond" w:hAnsi="Garamond"/>
                <w:sz w:val="24"/>
                <w:szCs w:val="24"/>
              </w:rPr>
            </w:pPr>
            <w:r w:rsidRPr="00102618">
              <w:rPr>
                <w:rFonts w:ascii="Garamond" w:hAnsi="Garamond"/>
                <w:sz w:val="24"/>
                <w:szCs w:val="24"/>
              </w:rPr>
              <w:t>Intake should function as issue spotting and broad claim orientation rather than full trauma extraction.</w:t>
            </w:r>
          </w:p>
        </w:tc>
        <w:tc>
          <w:tcPr>
            <w:tcW w:w="26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352A8F6F" w14:textId="77777777" w:rsidR="00E3316C" w:rsidRPr="00102618" w:rsidRDefault="00000000">
            <w:pPr>
              <w:rPr>
                <w:rFonts w:ascii="Garamond" w:hAnsi="Garamond"/>
                <w:sz w:val="24"/>
                <w:szCs w:val="24"/>
              </w:rPr>
            </w:pPr>
            <w:r w:rsidRPr="00102618">
              <w:rPr>
                <w:rFonts w:ascii="Garamond" w:hAnsi="Garamond"/>
                <w:sz w:val="24"/>
                <w:szCs w:val="24"/>
              </w:rPr>
              <w:t>Narrowed intake triage; added "capture now / what should wait," stop rules, and broader emphasis on claim viability, nexus hypothesis, and not-ready-yet flags.</w:t>
            </w:r>
          </w:p>
        </w:tc>
      </w:tr>
      <w:tr w:rsidR="00E3316C" w:rsidRPr="00102618" w14:paraId="41771D5F" w14:textId="77777777" w:rsidTr="00102618">
        <w:tc>
          <w:tcPr>
            <w:tcW w:w="23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D5CF064" w14:textId="77777777" w:rsidR="00E3316C" w:rsidRPr="00102618" w:rsidRDefault="00000000">
            <w:pPr>
              <w:rPr>
                <w:rFonts w:ascii="Garamond" w:hAnsi="Garamond"/>
                <w:sz w:val="24"/>
                <w:szCs w:val="24"/>
              </w:rPr>
            </w:pPr>
            <w:r w:rsidRPr="00102618">
              <w:rPr>
                <w:rFonts w:ascii="Garamond" w:hAnsi="Garamond"/>
                <w:sz w:val="24"/>
                <w:szCs w:val="24"/>
              </w:rPr>
              <w:t>Staged narrative development and chronology</w:t>
            </w:r>
          </w:p>
        </w:tc>
        <w:tc>
          <w:tcPr>
            <w:tcW w:w="225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617F044B" w14:textId="77777777" w:rsidR="00E3316C" w:rsidRPr="00102618" w:rsidRDefault="00000000">
            <w:pPr>
              <w:rPr>
                <w:rFonts w:ascii="Garamond" w:hAnsi="Garamond"/>
                <w:sz w:val="24"/>
                <w:szCs w:val="24"/>
              </w:rPr>
            </w:pPr>
            <w:r w:rsidRPr="00102618">
              <w:rPr>
                <w:rFonts w:ascii="Garamond" w:hAnsi="Garamond"/>
                <w:sz w:val="24"/>
                <w:szCs w:val="24"/>
              </w:rPr>
              <w:t>Practitioner workshop feedback; attorney workflow models; trauma-memory literature</w:t>
            </w:r>
          </w:p>
        </w:tc>
        <w:tc>
          <w:tcPr>
            <w:tcW w:w="285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60D49486" w14:textId="77777777" w:rsidR="00E3316C" w:rsidRPr="00102618" w:rsidRDefault="00000000">
            <w:pPr>
              <w:rPr>
                <w:rFonts w:ascii="Garamond" w:hAnsi="Garamond"/>
                <w:sz w:val="24"/>
                <w:szCs w:val="24"/>
              </w:rPr>
            </w:pPr>
            <w:r w:rsidRPr="00102618">
              <w:rPr>
                <w:rFonts w:ascii="Garamond" w:hAnsi="Garamond"/>
                <w:sz w:val="24"/>
                <w:szCs w:val="24"/>
              </w:rPr>
              <w:t>Narratives often develop over multiple meetings and chronology is better anchored through age, season, public events, and life markers than forced calendar dates.</w:t>
            </w:r>
          </w:p>
        </w:tc>
        <w:tc>
          <w:tcPr>
            <w:tcW w:w="26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652CC5E" w14:textId="77777777" w:rsidR="00E3316C" w:rsidRPr="00102618" w:rsidRDefault="00000000">
            <w:pPr>
              <w:rPr>
                <w:rFonts w:ascii="Garamond" w:hAnsi="Garamond"/>
                <w:sz w:val="24"/>
                <w:szCs w:val="24"/>
              </w:rPr>
            </w:pPr>
            <w:r w:rsidRPr="00102618">
              <w:rPr>
                <w:rFonts w:ascii="Garamond" w:hAnsi="Garamond"/>
                <w:sz w:val="24"/>
                <w:szCs w:val="24"/>
              </w:rPr>
              <w:t>Retained and strengthened session-by-session roadmap; added chronology anchors; expanded stage-specific prompts.</w:t>
            </w:r>
          </w:p>
        </w:tc>
      </w:tr>
      <w:tr w:rsidR="00E3316C" w:rsidRPr="00102618" w14:paraId="65027C85" w14:textId="77777777" w:rsidTr="00102618">
        <w:tc>
          <w:tcPr>
            <w:tcW w:w="23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11AE9C95" w14:textId="77777777" w:rsidR="00E3316C" w:rsidRPr="00102618" w:rsidRDefault="00000000">
            <w:pPr>
              <w:rPr>
                <w:rFonts w:ascii="Garamond" w:hAnsi="Garamond"/>
                <w:sz w:val="24"/>
                <w:szCs w:val="24"/>
              </w:rPr>
            </w:pPr>
            <w:r w:rsidRPr="00102618">
              <w:rPr>
                <w:rFonts w:ascii="Garamond" w:hAnsi="Garamond"/>
                <w:sz w:val="24"/>
                <w:szCs w:val="24"/>
              </w:rPr>
              <w:t>Delay, disclosure, and credibility protection</w:t>
            </w:r>
          </w:p>
        </w:tc>
        <w:tc>
          <w:tcPr>
            <w:tcW w:w="225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72B9B626" w14:textId="77777777" w:rsidR="00E3316C" w:rsidRPr="00102618" w:rsidRDefault="00000000">
            <w:pPr>
              <w:rPr>
                <w:rFonts w:ascii="Garamond" w:hAnsi="Garamond"/>
                <w:sz w:val="24"/>
                <w:szCs w:val="24"/>
              </w:rPr>
            </w:pPr>
            <w:r w:rsidRPr="00102618">
              <w:rPr>
                <w:rFonts w:ascii="Garamond" w:hAnsi="Garamond"/>
                <w:sz w:val="24"/>
                <w:szCs w:val="24"/>
              </w:rPr>
              <w:t xml:space="preserve">Practitioner workshop feedback; GBV/disclosure </w:t>
            </w:r>
            <w:r w:rsidRPr="00102618">
              <w:rPr>
                <w:rFonts w:ascii="Garamond" w:hAnsi="Garamond"/>
                <w:sz w:val="24"/>
                <w:szCs w:val="24"/>
              </w:rPr>
              <w:lastRenderedPageBreak/>
              <w:t>literature; delayed disclosure research</w:t>
            </w:r>
          </w:p>
        </w:tc>
        <w:tc>
          <w:tcPr>
            <w:tcW w:w="2855"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598DCE95" w14:textId="77777777" w:rsidR="00E3316C" w:rsidRPr="00102618" w:rsidRDefault="00000000">
            <w:pPr>
              <w:rPr>
                <w:rFonts w:ascii="Garamond" w:hAnsi="Garamond"/>
                <w:sz w:val="24"/>
                <w:szCs w:val="24"/>
              </w:rPr>
            </w:pPr>
            <w:r w:rsidRPr="00102618">
              <w:rPr>
                <w:rFonts w:ascii="Garamond" w:hAnsi="Garamond"/>
                <w:sz w:val="24"/>
                <w:szCs w:val="24"/>
              </w:rPr>
              <w:lastRenderedPageBreak/>
              <w:t xml:space="preserve">Shame, fear, avoidance, family protection, and interpreter issues frequently shape delayed disclosure, </w:t>
            </w:r>
            <w:r w:rsidRPr="00102618">
              <w:rPr>
                <w:rFonts w:ascii="Garamond" w:hAnsi="Garamond"/>
                <w:sz w:val="24"/>
                <w:szCs w:val="24"/>
              </w:rPr>
              <w:lastRenderedPageBreak/>
              <w:t>but the tool should not serve as a blanket explanation for every inconsistency.</w:t>
            </w:r>
          </w:p>
        </w:tc>
        <w:tc>
          <w:tcPr>
            <w:tcW w:w="26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303B10DB" w14:textId="77777777" w:rsidR="00E3316C" w:rsidRPr="00102618" w:rsidRDefault="00000000">
            <w:pPr>
              <w:rPr>
                <w:rFonts w:ascii="Garamond" w:hAnsi="Garamond"/>
                <w:sz w:val="24"/>
                <w:szCs w:val="24"/>
              </w:rPr>
            </w:pPr>
            <w:r w:rsidRPr="00102618">
              <w:rPr>
                <w:rFonts w:ascii="Garamond" w:hAnsi="Garamond"/>
                <w:sz w:val="24"/>
                <w:szCs w:val="24"/>
              </w:rPr>
              <w:lastRenderedPageBreak/>
              <w:t xml:space="preserve">Expanded barriers checklist; preserved neutral documentation language; added caution </w:t>
            </w:r>
            <w:r w:rsidRPr="00102618">
              <w:rPr>
                <w:rFonts w:ascii="Garamond" w:hAnsi="Garamond"/>
                <w:sz w:val="24"/>
                <w:szCs w:val="24"/>
              </w:rPr>
              <w:lastRenderedPageBreak/>
              <w:t>that the tool supports but does not replace legal judgment.</w:t>
            </w:r>
          </w:p>
        </w:tc>
      </w:tr>
      <w:tr w:rsidR="00E3316C" w:rsidRPr="00102618" w14:paraId="369BE5FA" w14:textId="77777777" w:rsidTr="00102618">
        <w:tc>
          <w:tcPr>
            <w:tcW w:w="23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B6FE7CA" w14:textId="77777777" w:rsidR="00E3316C" w:rsidRPr="00102618" w:rsidRDefault="00000000">
            <w:pPr>
              <w:rPr>
                <w:rFonts w:ascii="Garamond" w:hAnsi="Garamond"/>
                <w:sz w:val="24"/>
                <w:szCs w:val="24"/>
              </w:rPr>
            </w:pPr>
            <w:r w:rsidRPr="00102618">
              <w:rPr>
                <w:rFonts w:ascii="Garamond" w:hAnsi="Garamond"/>
                <w:sz w:val="24"/>
                <w:szCs w:val="24"/>
              </w:rPr>
              <w:lastRenderedPageBreak/>
              <w:t>Interpreter mediation and language effects</w:t>
            </w:r>
          </w:p>
        </w:tc>
        <w:tc>
          <w:tcPr>
            <w:tcW w:w="225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7F1BF251" w14:textId="77777777" w:rsidR="00E3316C" w:rsidRPr="00102618" w:rsidRDefault="00000000">
            <w:pPr>
              <w:rPr>
                <w:rFonts w:ascii="Garamond" w:hAnsi="Garamond"/>
                <w:sz w:val="24"/>
                <w:szCs w:val="24"/>
              </w:rPr>
            </w:pPr>
            <w:r w:rsidRPr="00102618">
              <w:rPr>
                <w:rFonts w:ascii="Garamond" w:hAnsi="Garamond"/>
                <w:sz w:val="24"/>
                <w:szCs w:val="24"/>
              </w:rPr>
              <w:t>Literature on language-of-encoding, interpreter distortion, and non-native speaker bias; workshop feedback</w:t>
            </w:r>
          </w:p>
        </w:tc>
        <w:tc>
          <w:tcPr>
            <w:tcW w:w="285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6E2C07A2" w14:textId="77777777" w:rsidR="00E3316C" w:rsidRPr="00102618" w:rsidRDefault="00000000">
            <w:pPr>
              <w:rPr>
                <w:rFonts w:ascii="Garamond" w:hAnsi="Garamond"/>
                <w:sz w:val="24"/>
                <w:szCs w:val="24"/>
              </w:rPr>
            </w:pPr>
            <w:r w:rsidRPr="00102618">
              <w:rPr>
                <w:rFonts w:ascii="Garamond" w:hAnsi="Garamond"/>
                <w:sz w:val="24"/>
                <w:szCs w:val="24"/>
              </w:rPr>
              <w:t>Interpreter practice is a credibility variable and should be visible throughout the toolkit rather than treated as an afterthought.</w:t>
            </w:r>
          </w:p>
        </w:tc>
        <w:tc>
          <w:tcPr>
            <w:tcW w:w="26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A2DB595" w14:textId="77777777" w:rsidR="00E3316C" w:rsidRPr="00102618" w:rsidRDefault="00000000">
            <w:pPr>
              <w:rPr>
                <w:rFonts w:ascii="Garamond" w:hAnsi="Garamond"/>
                <w:sz w:val="24"/>
                <w:szCs w:val="24"/>
              </w:rPr>
            </w:pPr>
            <w:r w:rsidRPr="00102618">
              <w:rPr>
                <w:rFonts w:ascii="Garamond" w:hAnsi="Garamond"/>
                <w:sz w:val="24"/>
                <w:szCs w:val="24"/>
              </w:rPr>
              <w:t>Added interpreter guidance, issue logging, meaning-check language, and stronger integration of language-of-encoding considerations.</w:t>
            </w:r>
          </w:p>
        </w:tc>
      </w:tr>
      <w:tr w:rsidR="00E3316C" w:rsidRPr="00102618" w14:paraId="63D6F3D3" w14:textId="77777777" w:rsidTr="00102618">
        <w:tc>
          <w:tcPr>
            <w:tcW w:w="23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15D2814A" w14:textId="77777777" w:rsidR="00E3316C" w:rsidRPr="00102618" w:rsidRDefault="00000000">
            <w:pPr>
              <w:rPr>
                <w:rFonts w:ascii="Garamond" w:hAnsi="Garamond"/>
                <w:sz w:val="24"/>
                <w:szCs w:val="24"/>
              </w:rPr>
            </w:pPr>
            <w:r w:rsidRPr="00102618">
              <w:rPr>
                <w:rFonts w:ascii="Garamond" w:hAnsi="Garamond"/>
                <w:sz w:val="24"/>
                <w:szCs w:val="24"/>
              </w:rPr>
              <w:t>Affidavit review and declaration quality</w:t>
            </w:r>
          </w:p>
        </w:tc>
        <w:tc>
          <w:tcPr>
            <w:tcW w:w="225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47B6A2B6" w14:textId="77777777" w:rsidR="00E3316C" w:rsidRPr="00102618" w:rsidRDefault="00000000">
            <w:pPr>
              <w:rPr>
                <w:rFonts w:ascii="Garamond" w:hAnsi="Garamond"/>
                <w:sz w:val="24"/>
                <w:szCs w:val="24"/>
              </w:rPr>
            </w:pPr>
            <w:r w:rsidRPr="00102618">
              <w:rPr>
                <w:rFonts w:ascii="Garamond" w:hAnsi="Garamond"/>
                <w:sz w:val="24"/>
                <w:szCs w:val="24"/>
              </w:rPr>
              <w:t>Practitioner workshop feedback; comparative toolkit review</w:t>
            </w:r>
          </w:p>
        </w:tc>
        <w:tc>
          <w:tcPr>
            <w:tcW w:w="2855"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448D0E1D" w14:textId="77777777" w:rsidR="00E3316C" w:rsidRPr="00102618" w:rsidRDefault="00000000">
            <w:pPr>
              <w:rPr>
                <w:rFonts w:ascii="Garamond" w:hAnsi="Garamond"/>
                <w:sz w:val="24"/>
                <w:szCs w:val="24"/>
              </w:rPr>
            </w:pPr>
            <w:r w:rsidRPr="00102618">
              <w:rPr>
                <w:rFonts w:ascii="Garamond" w:hAnsi="Garamond"/>
                <w:sz w:val="24"/>
                <w:szCs w:val="24"/>
              </w:rPr>
              <w:t>Common problems include weak nexus, vague actors, over-explaining, assumed context, and insufficient distinction between core and peripheral inconsistencies.</w:t>
            </w:r>
          </w:p>
        </w:tc>
        <w:tc>
          <w:tcPr>
            <w:tcW w:w="26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72633AE2" w14:textId="77777777" w:rsidR="00E3316C" w:rsidRPr="00102618" w:rsidRDefault="00000000">
            <w:pPr>
              <w:rPr>
                <w:rFonts w:ascii="Garamond" w:hAnsi="Garamond"/>
                <w:sz w:val="24"/>
                <w:szCs w:val="24"/>
              </w:rPr>
            </w:pPr>
            <w:r w:rsidRPr="00102618">
              <w:rPr>
                <w:rFonts w:ascii="Garamond" w:hAnsi="Garamond"/>
                <w:sz w:val="24"/>
                <w:szCs w:val="24"/>
              </w:rPr>
              <w:t>Expanded affidavit review checklist to include actor clarity, nexus visibility, bars/adverse facts, over-explaining, and declaration "hole" review.</w:t>
            </w:r>
          </w:p>
        </w:tc>
      </w:tr>
      <w:tr w:rsidR="00E3316C" w:rsidRPr="00102618" w14:paraId="119EDDB1" w14:textId="77777777" w:rsidTr="00102618">
        <w:tc>
          <w:tcPr>
            <w:tcW w:w="23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4854CBEE" w14:textId="77777777" w:rsidR="00E3316C" w:rsidRPr="00102618" w:rsidRDefault="00000000">
            <w:pPr>
              <w:rPr>
                <w:rFonts w:ascii="Garamond" w:hAnsi="Garamond"/>
                <w:sz w:val="24"/>
                <w:szCs w:val="24"/>
              </w:rPr>
            </w:pPr>
            <w:r w:rsidRPr="00102618">
              <w:rPr>
                <w:rFonts w:ascii="Garamond" w:hAnsi="Garamond"/>
                <w:sz w:val="24"/>
                <w:szCs w:val="24"/>
              </w:rPr>
              <w:t>Comparative toolkit architecture</w:t>
            </w:r>
          </w:p>
        </w:tc>
        <w:tc>
          <w:tcPr>
            <w:tcW w:w="225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782040F9" w14:textId="77777777" w:rsidR="00E3316C" w:rsidRPr="00102618" w:rsidRDefault="00000000">
            <w:pPr>
              <w:rPr>
                <w:rFonts w:ascii="Garamond" w:hAnsi="Garamond"/>
                <w:sz w:val="24"/>
                <w:szCs w:val="24"/>
              </w:rPr>
            </w:pPr>
            <w:r w:rsidRPr="00102618">
              <w:rPr>
                <w:rFonts w:ascii="Garamond" w:hAnsi="Garamond"/>
                <w:sz w:val="24"/>
                <w:szCs w:val="24"/>
              </w:rPr>
              <w:t>Review of ABA/HIAS, USCRI, Asylum Access, and related external toolkits</w:t>
            </w:r>
          </w:p>
        </w:tc>
        <w:tc>
          <w:tcPr>
            <w:tcW w:w="285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086996A8" w14:textId="77777777" w:rsidR="00E3316C" w:rsidRPr="00102618" w:rsidRDefault="00000000">
            <w:pPr>
              <w:rPr>
                <w:rFonts w:ascii="Garamond" w:hAnsi="Garamond"/>
                <w:sz w:val="24"/>
                <w:szCs w:val="24"/>
              </w:rPr>
            </w:pPr>
            <w:r w:rsidRPr="00102618">
              <w:rPr>
                <w:rFonts w:ascii="Garamond" w:hAnsi="Garamond"/>
                <w:sz w:val="24"/>
                <w:szCs w:val="24"/>
              </w:rPr>
              <w:t>External toolkits provided useful architecture: staged workflow, checklist logic, annotated samples, common-issues sections, stronger endings, and template pairing.</w:t>
            </w:r>
          </w:p>
        </w:tc>
        <w:tc>
          <w:tcPr>
            <w:tcW w:w="26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5C56ACB" w14:textId="77777777" w:rsidR="00E3316C" w:rsidRPr="00102618" w:rsidRDefault="00000000">
            <w:pPr>
              <w:rPr>
                <w:rFonts w:ascii="Garamond" w:hAnsi="Garamond"/>
                <w:sz w:val="24"/>
                <w:szCs w:val="24"/>
              </w:rPr>
            </w:pPr>
            <w:r w:rsidRPr="00102618">
              <w:rPr>
                <w:rFonts w:ascii="Garamond" w:hAnsi="Garamond"/>
                <w:sz w:val="24"/>
                <w:szCs w:val="24"/>
              </w:rPr>
              <w:t>Adopted structural logic while rewriting content in CIAS language; added workflow order, common-issues orientation, evidence/exhibit planning, and closure planning.</w:t>
            </w:r>
          </w:p>
        </w:tc>
      </w:tr>
      <w:tr w:rsidR="00E3316C" w:rsidRPr="00102618" w14:paraId="73B7FC45" w14:textId="77777777" w:rsidTr="00102618">
        <w:tc>
          <w:tcPr>
            <w:tcW w:w="23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16AB9104" w14:textId="77777777" w:rsidR="00E3316C" w:rsidRPr="00102618" w:rsidRDefault="00000000">
            <w:pPr>
              <w:rPr>
                <w:rFonts w:ascii="Garamond" w:hAnsi="Garamond"/>
                <w:sz w:val="24"/>
                <w:szCs w:val="24"/>
              </w:rPr>
            </w:pPr>
            <w:r w:rsidRPr="00102618">
              <w:rPr>
                <w:rFonts w:ascii="Garamond" w:hAnsi="Garamond"/>
                <w:sz w:val="24"/>
                <w:szCs w:val="24"/>
              </w:rPr>
              <w:t>Developmental and youth-sensitive modifications</w:t>
            </w:r>
          </w:p>
        </w:tc>
        <w:tc>
          <w:tcPr>
            <w:tcW w:w="225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4EE70564" w14:textId="77777777" w:rsidR="00E3316C" w:rsidRPr="00102618" w:rsidRDefault="00000000">
            <w:pPr>
              <w:rPr>
                <w:rFonts w:ascii="Garamond" w:hAnsi="Garamond"/>
                <w:sz w:val="24"/>
                <w:szCs w:val="24"/>
              </w:rPr>
            </w:pPr>
            <w:r w:rsidRPr="00102618">
              <w:rPr>
                <w:rFonts w:ascii="Garamond" w:hAnsi="Garamond"/>
                <w:sz w:val="24"/>
                <w:szCs w:val="24"/>
              </w:rPr>
              <w:t>Student review; USCRI toolkit; developmental literature</w:t>
            </w:r>
          </w:p>
        </w:tc>
        <w:tc>
          <w:tcPr>
            <w:tcW w:w="2855"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0FC6BD59" w14:textId="77777777" w:rsidR="00E3316C" w:rsidRPr="00102618" w:rsidRDefault="00000000">
            <w:pPr>
              <w:rPr>
                <w:rFonts w:ascii="Garamond" w:hAnsi="Garamond"/>
                <w:sz w:val="24"/>
                <w:szCs w:val="24"/>
              </w:rPr>
            </w:pPr>
            <w:r w:rsidRPr="00102618">
              <w:rPr>
                <w:rFonts w:ascii="Garamond" w:hAnsi="Garamond"/>
                <w:sz w:val="24"/>
                <w:szCs w:val="24"/>
              </w:rPr>
              <w:t>The toolkit needed stronger developmental modifiers for clients harmed as children, including traumatic separation, developmental anchors, and non-adult memory patterns.</w:t>
            </w:r>
          </w:p>
        </w:tc>
        <w:tc>
          <w:tcPr>
            <w:tcW w:w="26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565AC803" w14:textId="77777777" w:rsidR="00E3316C" w:rsidRPr="00102618" w:rsidRDefault="00000000">
            <w:pPr>
              <w:rPr>
                <w:rFonts w:ascii="Garamond" w:hAnsi="Garamond"/>
                <w:sz w:val="24"/>
                <w:szCs w:val="24"/>
              </w:rPr>
            </w:pPr>
            <w:r w:rsidRPr="00102618">
              <w:rPr>
                <w:rFonts w:ascii="Garamond" w:hAnsi="Garamond"/>
                <w:sz w:val="24"/>
                <w:szCs w:val="24"/>
              </w:rPr>
              <w:t>Added developmental/youth considerations to barriers and client-support sections.</w:t>
            </w:r>
          </w:p>
        </w:tc>
      </w:tr>
      <w:tr w:rsidR="00E3316C" w:rsidRPr="00102618" w14:paraId="23B88411" w14:textId="77777777" w:rsidTr="00102618">
        <w:tc>
          <w:tcPr>
            <w:tcW w:w="23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7455D375" w14:textId="77777777" w:rsidR="00E3316C" w:rsidRPr="00102618" w:rsidRDefault="00000000">
            <w:pPr>
              <w:rPr>
                <w:rFonts w:ascii="Garamond" w:hAnsi="Garamond"/>
                <w:sz w:val="24"/>
                <w:szCs w:val="24"/>
              </w:rPr>
            </w:pPr>
            <w:r w:rsidRPr="00102618">
              <w:rPr>
                <w:rFonts w:ascii="Garamond" w:hAnsi="Garamond"/>
                <w:sz w:val="24"/>
                <w:szCs w:val="24"/>
              </w:rPr>
              <w:t>Practitioner reflection and sustainability</w:t>
            </w:r>
          </w:p>
        </w:tc>
        <w:tc>
          <w:tcPr>
            <w:tcW w:w="225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1B9E1B07" w14:textId="77777777" w:rsidR="00E3316C" w:rsidRPr="00102618" w:rsidRDefault="00000000">
            <w:pPr>
              <w:rPr>
                <w:rFonts w:ascii="Garamond" w:hAnsi="Garamond"/>
                <w:sz w:val="24"/>
                <w:szCs w:val="24"/>
              </w:rPr>
            </w:pPr>
            <w:r w:rsidRPr="00102618">
              <w:rPr>
                <w:rFonts w:ascii="Garamond" w:hAnsi="Garamond"/>
                <w:sz w:val="24"/>
                <w:szCs w:val="24"/>
              </w:rPr>
              <w:t>Asylum Access toolkit review; CIMH-informed materials; student review</w:t>
            </w:r>
          </w:p>
        </w:tc>
        <w:tc>
          <w:tcPr>
            <w:tcW w:w="285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1B7FA832" w14:textId="77777777" w:rsidR="00E3316C" w:rsidRPr="00102618" w:rsidRDefault="00000000">
            <w:pPr>
              <w:rPr>
                <w:rFonts w:ascii="Garamond" w:hAnsi="Garamond"/>
                <w:sz w:val="24"/>
                <w:szCs w:val="24"/>
              </w:rPr>
            </w:pPr>
            <w:r w:rsidRPr="00102618">
              <w:rPr>
                <w:rFonts w:ascii="Garamond" w:hAnsi="Garamond"/>
                <w:sz w:val="24"/>
                <w:szCs w:val="24"/>
              </w:rPr>
              <w:t>Attorneys benefit from a structured reflection opportunity after difficult meetings to process drift, emotional residue, and next-step needs.</w:t>
            </w:r>
          </w:p>
        </w:tc>
        <w:tc>
          <w:tcPr>
            <w:tcW w:w="26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0B64590A" w14:textId="77777777" w:rsidR="00E3316C" w:rsidRPr="00102618" w:rsidRDefault="00000000">
            <w:pPr>
              <w:rPr>
                <w:rFonts w:ascii="Garamond" w:hAnsi="Garamond"/>
                <w:sz w:val="24"/>
                <w:szCs w:val="24"/>
              </w:rPr>
            </w:pPr>
            <w:r w:rsidRPr="00102618">
              <w:rPr>
                <w:rFonts w:ascii="Garamond" w:hAnsi="Garamond"/>
                <w:sz w:val="24"/>
                <w:szCs w:val="24"/>
              </w:rPr>
              <w:t>Expanded post-session reflection and wellbeing materials, including questions about deviation from the roadmap, emotional output, and next-session planning.</w:t>
            </w:r>
          </w:p>
        </w:tc>
      </w:tr>
      <w:tr w:rsidR="00E3316C" w:rsidRPr="00102618" w14:paraId="3AE5B3BE" w14:textId="77777777" w:rsidTr="00102618">
        <w:tc>
          <w:tcPr>
            <w:tcW w:w="23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78AF32D3" w14:textId="77777777" w:rsidR="00E3316C" w:rsidRPr="00102618" w:rsidRDefault="00000000">
            <w:pPr>
              <w:rPr>
                <w:rFonts w:ascii="Garamond" w:hAnsi="Garamond"/>
                <w:sz w:val="24"/>
                <w:szCs w:val="24"/>
              </w:rPr>
            </w:pPr>
            <w:r w:rsidRPr="00102618">
              <w:rPr>
                <w:rFonts w:ascii="Garamond" w:hAnsi="Garamond"/>
                <w:sz w:val="24"/>
                <w:szCs w:val="24"/>
              </w:rPr>
              <w:lastRenderedPageBreak/>
              <w:t>Client-facing visual elicitation supports</w:t>
            </w:r>
          </w:p>
        </w:tc>
        <w:tc>
          <w:tcPr>
            <w:tcW w:w="225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743DC0C2" w14:textId="77777777" w:rsidR="00E3316C" w:rsidRPr="00102618" w:rsidRDefault="00000000">
            <w:pPr>
              <w:rPr>
                <w:rFonts w:ascii="Garamond" w:hAnsi="Garamond"/>
                <w:sz w:val="24"/>
                <w:szCs w:val="24"/>
              </w:rPr>
            </w:pPr>
            <w:r w:rsidRPr="00102618">
              <w:rPr>
                <w:rFonts w:ascii="Garamond" w:hAnsi="Garamond"/>
                <w:sz w:val="24"/>
                <w:szCs w:val="24"/>
              </w:rPr>
              <w:t>Student review; practitioner usability concerns; trauma-informed communication needs</w:t>
            </w:r>
          </w:p>
        </w:tc>
        <w:tc>
          <w:tcPr>
            <w:tcW w:w="2855"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0018D947" w14:textId="77777777" w:rsidR="00E3316C" w:rsidRPr="00102618" w:rsidRDefault="00000000">
            <w:pPr>
              <w:rPr>
                <w:rFonts w:ascii="Garamond" w:hAnsi="Garamond"/>
                <w:sz w:val="24"/>
                <w:szCs w:val="24"/>
              </w:rPr>
            </w:pPr>
            <w:r w:rsidRPr="00102618">
              <w:rPr>
                <w:rFonts w:ascii="Garamond" w:hAnsi="Garamond"/>
                <w:sz w:val="24"/>
                <w:szCs w:val="24"/>
              </w:rPr>
              <w:t>Some clients organize information more effectively with externalized, low-pressure visual supports rather than continuous verbal recall.</w:t>
            </w:r>
          </w:p>
        </w:tc>
        <w:tc>
          <w:tcPr>
            <w:tcW w:w="26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54542393" w14:textId="77777777" w:rsidR="00E3316C" w:rsidRPr="00102618" w:rsidRDefault="00000000">
            <w:pPr>
              <w:rPr>
                <w:rFonts w:ascii="Garamond" w:hAnsi="Garamond"/>
                <w:sz w:val="24"/>
                <w:szCs w:val="24"/>
              </w:rPr>
            </w:pPr>
            <w:r w:rsidRPr="00102618">
              <w:rPr>
                <w:rFonts w:ascii="Garamond" w:hAnsi="Garamond"/>
                <w:sz w:val="24"/>
                <w:szCs w:val="24"/>
              </w:rPr>
              <w:t>Added optional visual-support appendix for time anchors, storyboards, actor mapping, movement/safety paths, persecutor words, and regulation/return-later use.</w:t>
            </w:r>
          </w:p>
        </w:tc>
      </w:tr>
    </w:tbl>
    <w:p w14:paraId="192D525F" w14:textId="77777777" w:rsidR="00E3316C" w:rsidRPr="00102618" w:rsidRDefault="00E3316C">
      <w:pPr>
        <w:spacing w:before="60" w:after="60"/>
        <w:rPr>
          <w:rFonts w:ascii="Garamond" w:hAnsi="Garamond"/>
          <w:sz w:val="24"/>
          <w:szCs w:val="24"/>
        </w:rPr>
      </w:pPr>
    </w:p>
    <w:p w14:paraId="7ABDD1E3" w14:textId="77777777" w:rsidR="00E3316C" w:rsidRPr="00102618" w:rsidRDefault="00000000">
      <w:pPr>
        <w:spacing w:after="120"/>
        <w:rPr>
          <w:rFonts w:ascii="Garamond" w:hAnsi="Garamond"/>
          <w:sz w:val="24"/>
          <w:szCs w:val="24"/>
        </w:rPr>
      </w:pPr>
      <w:r w:rsidRPr="00102618">
        <w:rPr>
          <w:rFonts w:ascii="Garamond" w:hAnsi="Garamond"/>
          <w:sz w:val="24"/>
          <w:szCs w:val="24"/>
        </w:rPr>
        <w:t>Table 1 will be updated to reflect findings from forthcoming focus groups and individual interviews.</w:t>
      </w:r>
    </w:p>
    <w:p w14:paraId="5F29E753" w14:textId="77777777" w:rsidR="00E3316C" w:rsidRPr="00102618" w:rsidRDefault="00000000">
      <w:pPr>
        <w:rPr>
          <w:rFonts w:ascii="Garamond" w:hAnsi="Garamond"/>
          <w:sz w:val="24"/>
          <w:szCs w:val="24"/>
        </w:rPr>
      </w:pPr>
      <w:r w:rsidRPr="00102618">
        <w:rPr>
          <w:rFonts w:ascii="Garamond" w:hAnsi="Garamond"/>
          <w:sz w:val="24"/>
          <w:szCs w:val="24"/>
        </w:rPr>
        <w:br w:type="page"/>
      </w:r>
    </w:p>
    <w:p w14:paraId="659C50B6" w14:textId="77777777" w:rsidR="00E3316C" w:rsidRPr="00E40C5D" w:rsidRDefault="00000000">
      <w:pPr>
        <w:pStyle w:val="Heading2"/>
        <w:pBdr>
          <w:bottom w:val="single" w:sz="6" w:space="1" w:color="2E75B6"/>
        </w:pBdr>
        <w:rPr>
          <w:rFonts w:ascii="Garamond" w:hAnsi="Garamond"/>
          <w:color w:val="000000" w:themeColor="text1"/>
          <w:sz w:val="24"/>
          <w:szCs w:val="24"/>
        </w:rPr>
      </w:pPr>
      <w:r w:rsidRPr="00E40C5D">
        <w:rPr>
          <w:rFonts w:ascii="Garamond" w:hAnsi="Garamond"/>
          <w:color w:val="000000" w:themeColor="text1"/>
          <w:sz w:val="24"/>
          <w:szCs w:val="24"/>
        </w:rPr>
        <w:lastRenderedPageBreak/>
        <w:t>Section 3. What is Contextual Influence in Acculturative Stress (CIAS)?</w:t>
      </w:r>
    </w:p>
    <w:p w14:paraId="38D15618" w14:textId="77777777" w:rsidR="00E3316C" w:rsidRPr="00102618" w:rsidRDefault="00000000">
      <w:pPr>
        <w:spacing w:after="120"/>
        <w:rPr>
          <w:rFonts w:ascii="Garamond" w:hAnsi="Garamond"/>
          <w:sz w:val="24"/>
          <w:szCs w:val="24"/>
        </w:rPr>
      </w:pPr>
      <w:r w:rsidRPr="00102618">
        <w:rPr>
          <w:rFonts w:ascii="Garamond" w:hAnsi="Garamond"/>
          <w:sz w:val="24"/>
          <w:szCs w:val="24"/>
        </w:rPr>
        <w:t>CIAS—Contextual Influence in Acculturative Stress—builds on Bekteshi's original framework, which emerged from years of community-engaged research with immigrant communities and was further refined through systematic review published in Ethnicity &amp; Health (Bekteshi et al., 2000). Developed in response to the limits of individualistic models of acculturative stress, the framework demonstrates that immigrant adaptation is shaped not only by stress itself but also by cultural identity, family roles, structural inequities, migration conditions, and sources of resilience. As a guide to this toolkit, CIAS does not replace legal analysis. Rather, it extends that framework into asylum practice as a disciplined method for capturing the minimum contextual information needed to interpret credibility, nexus, delay, relocation, and future fear more accurately.</w:t>
      </w:r>
    </w:p>
    <w:p w14:paraId="51E0B9D9" w14:textId="77777777" w:rsidR="00E3316C" w:rsidRPr="00102618" w:rsidRDefault="00E3316C">
      <w:pPr>
        <w:spacing w:before="60" w:after="60"/>
        <w:rPr>
          <w:rFonts w:ascii="Garamond" w:hAnsi="Garamond"/>
          <w:sz w:val="24"/>
          <w:szCs w:val="24"/>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40"/>
        <w:gridCol w:w="2460"/>
        <w:gridCol w:w="2420"/>
        <w:gridCol w:w="2700"/>
      </w:tblGrid>
      <w:tr w:rsidR="00E3316C" w:rsidRPr="00102618" w14:paraId="0DC2D5CB" w14:textId="77777777">
        <w:trPr>
          <w:tblHeader/>
        </w:trPr>
        <w:tc>
          <w:tcPr>
            <w:tcW w:w="214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35469F96" w14:textId="77777777" w:rsidR="00E3316C" w:rsidRPr="00102618" w:rsidRDefault="00000000">
            <w:pPr>
              <w:rPr>
                <w:rFonts w:ascii="Garamond" w:hAnsi="Garamond"/>
                <w:sz w:val="24"/>
                <w:szCs w:val="24"/>
              </w:rPr>
            </w:pPr>
            <w:r w:rsidRPr="00102618">
              <w:rPr>
                <w:rFonts w:ascii="Garamond" w:hAnsi="Garamond"/>
                <w:b/>
                <w:bCs/>
                <w:color w:val="FFFFFF"/>
                <w:sz w:val="24"/>
                <w:szCs w:val="24"/>
              </w:rPr>
              <w:t>CIAS Lens</w:t>
            </w:r>
          </w:p>
        </w:tc>
        <w:tc>
          <w:tcPr>
            <w:tcW w:w="246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71650A97" w14:textId="77777777" w:rsidR="00E3316C" w:rsidRPr="00102618" w:rsidRDefault="00000000">
            <w:pPr>
              <w:rPr>
                <w:rFonts w:ascii="Garamond" w:hAnsi="Garamond"/>
                <w:sz w:val="24"/>
                <w:szCs w:val="24"/>
              </w:rPr>
            </w:pPr>
            <w:r w:rsidRPr="00102618">
              <w:rPr>
                <w:rFonts w:ascii="Garamond" w:hAnsi="Garamond"/>
                <w:b/>
                <w:bCs/>
                <w:color w:val="FFFFFF"/>
                <w:sz w:val="24"/>
                <w:szCs w:val="24"/>
              </w:rPr>
              <w:t>What It Helps Explain</w:t>
            </w:r>
          </w:p>
        </w:tc>
        <w:tc>
          <w:tcPr>
            <w:tcW w:w="24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4C543F89" w14:textId="77777777" w:rsidR="00E3316C" w:rsidRPr="00102618" w:rsidRDefault="00000000">
            <w:pPr>
              <w:rPr>
                <w:rFonts w:ascii="Garamond" w:hAnsi="Garamond"/>
                <w:sz w:val="24"/>
                <w:szCs w:val="24"/>
              </w:rPr>
            </w:pPr>
            <w:r w:rsidRPr="00102618">
              <w:rPr>
                <w:rFonts w:ascii="Garamond" w:hAnsi="Garamond"/>
                <w:b/>
                <w:bCs/>
                <w:color w:val="FFFFFF"/>
                <w:sz w:val="24"/>
                <w:szCs w:val="24"/>
              </w:rPr>
              <w:t>Why It Matters Legally</w:t>
            </w:r>
          </w:p>
        </w:tc>
        <w:tc>
          <w:tcPr>
            <w:tcW w:w="27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57164E33" w14:textId="77777777" w:rsidR="00E3316C" w:rsidRPr="00102618" w:rsidRDefault="00000000">
            <w:pPr>
              <w:rPr>
                <w:rFonts w:ascii="Garamond" w:hAnsi="Garamond"/>
                <w:sz w:val="24"/>
                <w:szCs w:val="24"/>
              </w:rPr>
            </w:pPr>
            <w:r w:rsidRPr="00102618">
              <w:rPr>
                <w:rFonts w:ascii="Garamond" w:hAnsi="Garamond"/>
                <w:b/>
                <w:bCs/>
                <w:color w:val="FFFFFF"/>
                <w:sz w:val="24"/>
                <w:szCs w:val="24"/>
              </w:rPr>
              <w:t>Examples of Questions or Notes</w:t>
            </w:r>
          </w:p>
        </w:tc>
      </w:tr>
      <w:tr w:rsidR="00E3316C" w:rsidRPr="00102618" w14:paraId="442D6F1F" w14:textId="77777777">
        <w:tc>
          <w:tcPr>
            <w:tcW w:w="21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0690895E" w14:textId="77777777" w:rsidR="00E3316C" w:rsidRPr="00102618" w:rsidRDefault="00000000">
            <w:pPr>
              <w:rPr>
                <w:rFonts w:ascii="Garamond" w:hAnsi="Garamond"/>
                <w:sz w:val="24"/>
                <w:szCs w:val="24"/>
              </w:rPr>
            </w:pPr>
            <w:r w:rsidRPr="00102618">
              <w:rPr>
                <w:rFonts w:ascii="Garamond" w:hAnsi="Garamond"/>
                <w:sz w:val="24"/>
                <w:szCs w:val="24"/>
              </w:rPr>
              <w:t>U.S. climate context</w:t>
            </w:r>
          </w:p>
        </w:tc>
        <w:tc>
          <w:tcPr>
            <w:tcW w:w="24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71F28C99" w14:textId="77777777" w:rsidR="00E3316C" w:rsidRPr="00102618" w:rsidRDefault="00000000">
            <w:pPr>
              <w:rPr>
                <w:rFonts w:ascii="Garamond" w:hAnsi="Garamond"/>
                <w:sz w:val="24"/>
                <w:szCs w:val="24"/>
              </w:rPr>
            </w:pPr>
            <w:r w:rsidRPr="00102618">
              <w:rPr>
                <w:rFonts w:ascii="Garamond" w:hAnsi="Garamond"/>
                <w:sz w:val="24"/>
                <w:szCs w:val="24"/>
              </w:rPr>
              <w:t>Fear of institutions, legal precarity, detention anxiety, mistrust after border or state contact.</w:t>
            </w:r>
          </w:p>
        </w:tc>
        <w:tc>
          <w:tcPr>
            <w:tcW w:w="24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0108C54B" w14:textId="77777777" w:rsidR="00E3316C" w:rsidRPr="00102618" w:rsidRDefault="00000000">
            <w:pPr>
              <w:rPr>
                <w:rFonts w:ascii="Garamond" w:hAnsi="Garamond"/>
                <w:sz w:val="24"/>
                <w:szCs w:val="24"/>
              </w:rPr>
            </w:pPr>
            <w:r w:rsidRPr="00102618">
              <w:rPr>
                <w:rFonts w:ascii="Garamond" w:hAnsi="Garamond"/>
                <w:sz w:val="24"/>
                <w:szCs w:val="24"/>
              </w:rPr>
              <w:t>Helps explain why someone did not report, delayed disclosure, or fears interacting with officials.</w:t>
            </w:r>
          </w:p>
        </w:tc>
        <w:tc>
          <w:tcPr>
            <w:tcW w:w="27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48857D87" w14:textId="77777777" w:rsidR="00E3316C" w:rsidRPr="00102618" w:rsidRDefault="00000000">
            <w:pPr>
              <w:rPr>
                <w:rFonts w:ascii="Garamond" w:hAnsi="Garamond"/>
                <w:sz w:val="24"/>
                <w:szCs w:val="24"/>
              </w:rPr>
            </w:pPr>
            <w:r w:rsidRPr="00102618">
              <w:rPr>
                <w:rFonts w:ascii="Garamond" w:hAnsi="Garamond"/>
                <w:sz w:val="24"/>
                <w:szCs w:val="24"/>
              </w:rPr>
              <w:t>Did prior contact with police, immigration, detention, or a border process affect what felt safe to disclose?</w:t>
            </w:r>
          </w:p>
        </w:tc>
      </w:tr>
      <w:tr w:rsidR="00E3316C" w:rsidRPr="00102618" w14:paraId="14F6B232" w14:textId="77777777">
        <w:tc>
          <w:tcPr>
            <w:tcW w:w="21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1E0CDDB8" w14:textId="77777777" w:rsidR="00E3316C" w:rsidRPr="00102618" w:rsidRDefault="00000000">
            <w:pPr>
              <w:rPr>
                <w:rFonts w:ascii="Garamond" w:hAnsi="Garamond"/>
                <w:sz w:val="24"/>
                <w:szCs w:val="24"/>
              </w:rPr>
            </w:pPr>
            <w:r w:rsidRPr="00102618">
              <w:rPr>
                <w:rFonts w:ascii="Garamond" w:hAnsi="Garamond"/>
                <w:sz w:val="24"/>
                <w:szCs w:val="24"/>
              </w:rPr>
              <w:t>Developmental context</w:t>
            </w:r>
          </w:p>
        </w:tc>
        <w:tc>
          <w:tcPr>
            <w:tcW w:w="246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6EA28D12" w14:textId="77777777" w:rsidR="00E3316C" w:rsidRPr="00102618" w:rsidRDefault="00000000">
            <w:pPr>
              <w:rPr>
                <w:rFonts w:ascii="Garamond" w:hAnsi="Garamond"/>
                <w:sz w:val="24"/>
                <w:szCs w:val="24"/>
              </w:rPr>
            </w:pPr>
            <w:r w:rsidRPr="00102618">
              <w:rPr>
                <w:rFonts w:ascii="Garamond" w:hAnsi="Garamond"/>
                <w:sz w:val="24"/>
                <w:szCs w:val="24"/>
              </w:rPr>
              <w:t>Age at harm, age at flight, schooling disruption, child versus adult recall, traumatic separation.</w:t>
            </w:r>
          </w:p>
        </w:tc>
        <w:tc>
          <w:tcPr>
            <w:tcW w:w="24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6D0AD257" w14:textId="77777777" w:rsidR="00E3316C" w:rsidRPr="00102618" w:rsidRDefault="00000000">
            <w:pPr>
              <w:rPr>
                <w:rFonts w:ascii="Garamond" w:hAnsi="Garamond"/>
                <w:sz w:val="24"/>
                <w:szCs w:val="24"/>
              </w:rPr>
            </w:pPr>
            <w:r w:rsidRPr="00102618">
              <w:rPr>
                <w:rFonts w:ascii="Garamond" w:hAnsi="Garamond"/>
                <w:sz w:val="24"/>
                <w:szCs w:val="24"/>
              </w:rPr>
              <w:t>Helps explain fragmented chronology, milestone-based recall, and differences in how events are narrated.</w:t>
            </w:r>
          </w:p>
        </w:tc>
        <w:tc>
          <w:tcPr>
            <w:tcW w:w="270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53343589" w14:textId="77777777" w:rsidR="00E3316C" w:rsidRPr="00102618" w:rsidRDefault="00000000">
            <w:pPr>
              <w:rPr>
                <w:rFonts w:ascii="Garamond" w:hAnsi="Garamond"/>
                <w:sz w:val="24"/>
                <w:szCs w:val="24"/>
              </w:rPr>
            </w:pPr>
            <w:r w:rsidRPr="00102618">
              <w:rPr>
                <w:rFonts w:ascii="Garamond" w:hAnsi="Garamond"/>
                <w:sz w:val="24"/>
                <w:szCs w:val="24"/>
              </w:rPr>
              <w:t>Was the client a child or adolescent when the harm occurred, and how might that shape recall now?</w:t>
            </w:r>
          </w:p>
        </w:tc>
      </w:tr>
      <w:tr w:rsidR="00E3316C" w:rsidRPr="00102618" w14:paraId="5A396C0A" w14:textId="77777777">
        <w:tc>
          <w:tcPr>
            <w:tcW w:w="21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71EF171" w14:textId="77777777" w:rsidR="00E3316C" w:rsidRPr="00102618" w:rsidRDefault="00000000">
            <w:pPr>
              <w:rPr>
                <w:rFonts w:ascii="Garamond" w:hAnsi="Garamond"/>
                <w:sz w:val="24"/>
                <w:szCs w:val="24"/>
              </w:rPr>
            </w:pPr>
            <w:r w:rsidRPr="00102618">
              <w:rPr>
                <w:rFonts w:ascii="Garamond" w:hAnsi="Garamond"/>
                <w:sz w:val="24"/>
                <w:szCs w:val="24"/>
              </w:rPr>
              <w:t>Economic context</w:t>
            </w:r>
          </w:p>
        </w:tc>
        <w:tc>
          <w:tcPr>
            <w:tcW w:w="24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9216E9D" w14:textId="77777777" w:rsidR="00E3316C" w:rsidRPr="00102618" w:rsidRDefault="00000000">
            <w:pPr>
              <w:rPr>
                <w:rFonts w:ascii="Garamond" w:hAnsi="Garamond"/>
                <w:sz w:val="24"/>
                <w:szCs w:val="24"/>
              </w:rPr>
            </w:pPr>
            <w:r w:rsidRPr="00102618">
              <w:rPr>
                <w:rFonts w:ascii="Garamond" w:hAnsi="Garamond"/>
                <w:sz w:val="24"/>
                <w:szCs w:val="24"/>
              </w:rPr>
              <w:t>Whether relocation, escape, transport, reporting, or help-seeking was actually feasible.</w:t>
            </w:r>
          </w:p>
        </w:tc>
        <w:tc>
          <w:tcPr>
            <w:tcW w:w="24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729D72D2" w14:textId="77777777" w:rsidR="00E3316C" w:rsidRPr="00102618" w:rsidRDefault="00000000">
            <w:pPr>
              <w:rPr>
                <w:rFonts w:ascii="Garamond" w:hAnsi="Garamond"/>
                <w:sz w:val="24"/>
                <w:szCs w:val="24"/>
              </w:rPr>
            </w:pPr>
            <w:r w:rsidRPr="00102618">
              <w:rPr>
                <w:rFonts w:ascii="Garamond" w:hAnsi="Garamond"/>
                <w:sz w:val="24"/>
                <w:szCs w:val="24"/>
              </w:rPr>
              <w:t>Helps assess internal relocation, dependence, vulnerability, and practical barriers to safety.</w:t>
            </w:r>
          </w:p>
        </w:tc>
        <w:tc>
          <w:tcPr>
            <w:tcW w:w="27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1D4AD0D0" w14:textId="77777777" w:rsidR="00E3316C" w:rsidRPr="00102618" w:rsidRDefault="00000000">
            <w:pPr>
              <w:rPr>
                <w:rFonts w:ascii="Garamond" w:hAnsi="Garamond"/>
                <w:sz w:val="24"/>
                <w:szCs w:val="24"/>
              </w:rPr>
            </w:pPr>
            <w:r w:rsidRPr="00102618">
              <w:rPr>
                <w:rFonts w:ascii="Garamond" w:hAnsi="Garamond"/>
                <w:sz w:val="24"/>
                <w:szCs w:val="24"/>
              </w:rPr>
              <w:t>What made leaving, hiding, or seeking help difficult in practical terms?</w:t>
            </w:r>
          </w:p>
        </w:tc>
      </w:tr>
      <w:tr w:rsidR="00E3316C" w:rsidRPr="00102618" w14:paraId="44E4A514" w14:textId="77777777">
        <w:tc>
          <w:tcPr>
            <w:tcW w:w="21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67F2A97A" w14:textId="77777777" w:rsidR="00E3316C" w:rsidRPr="00102618" w:rsidRDefault="00000000">
            <w:pPr>
              <w:rPr>
                <w:rFonts w:ascii="Garamond" w:hAnsi="Garamond"/>
                <w:sz w:val="24"/>
                <w:szCs w:val="24"/>
              </w:rPr>
            </w:pPr>
            <w:r w:rsidRPr="00102618">
              <w:rPr>
                <w:rFonts w:ascii="Garamond" w:hAnsi="Garamond"/>
                <w:sz w:val="24"/>
                <w:szCs w:val="24"/>
              </w:rPr>
              <w:t>Cultural context</w:t>
            </w:r>
          </w:p>
        </w:tc>
        <w:tc>
          <w:tcPr>
            <w:tcW w:w="246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635C9219" w14:textId="77777777" w:rsidR="00E3316C" w:rsidRPr="00102618" w:rsidRDefault="00000000">
            <w:pPr>
              <w:rPr>
                <w:rFonts w:ascii="Garamond" w:hAnsi="Garamond"/>
                <w:sz w:val="24"/>
                <w:szCs w:val="24"/>
              </w:rPr>
            </w:pPr>
            <w:r w:rsidRPr="00102618">
              <w:rPr>
                <w:rFonts w:ascii="Garamond" w:hAnsi="Garamond"/>
                <w:sz w:val="24"/>
                <w:szCs w:val="24"/>
              </w:rPr>
              <w:t>Shame, taboo, gender norms, family reputation, disclosure norms, role obligations, identity language.</w:t>
            </w:r>
          </w:p>
        </w:tc>
        <w:tc>
          <w:tcPr>
            <w:tcW w:w="24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715DAEAF" w14:textId="77777777" w:rsidR="00E3316C" w:rsidRPr="00102618" w:rsidRDefault="00000000">
            <w:pPr>
              <w:rPr>
                <w:rFonts w:ascii="Garamond" w:hAnsi="Garamond"/>
                <w:sz w:val="24"/>
                <w:szCs w:val="24"/>
              </w:rPr>
            </w:pPr>
            <w:r w:rsidRPr="00102618">
              <w:rPr>
                <w:rFonts w:ascii="Garamond" w:hAnsi="Garamond"/>
                <w:sz w:val="24"/>
                <w:szCs w:val="24"/>
              </w:rPr>
              <w:t>Helps explain indirect disclosure, silence, reluctance, and why some harms are named late or differently.</w:t>
            </w:r>
          </w:p>
        </w:tc>
        <w:tc>
          <w:tcPr>
            <w:tcW w:w="270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3203551A" w14:textId="77777777" w:rsidR="00E3316C" w:rsidRPr="00102618" w:rsidRDefault="00000000">
            <w:pPr>
              <w:rPr>
                <w:rFonts w:ascii="Garamond" w:hAnsi="Garamond"/>
                <w:sz w:val="24"/>
                <w:szCs w:val="24"/>
              </w:rPr>
            </w:pPr>
            <w:r w:rsidRPr="00102618">
              <w:rPr>
                <w:rFonts w:ascii="Garamond" w:hAnsi="Garamond"/>
                <w:sz w:val="24"/>
                <w:szCs w:val="24"/>
              </w:rPr>
              <w:t>Were there topics that felt dangerous, shameful, or unspeakable in the client's family or community?</w:t>
            </w:r>
          </w:p>
        </w:tc>
      </w:tr>
    </w:tbl>
    <w:p w14:paraId="129DD9EB" w14:textId="77777777" w:rsidR="00E3316C" w:rsidRPr="00102618" w:rsidRDefault="00E3316C">
      <w:pPr>
        <w:spacing w:before="60" w:after="60"/>
        <w:rPr>
          <w:rFonts w:ascii="Garamond" w:hAnsi="Garamond"/>
          <w:sz w:val="24"/>
          <w:szCs w:val="24"/>
        </w:rPr>
      </w:pPr>
    </w:p>
    <w:p w14:paraId="5F7F0942" w14:textId="77777777" w:rsidR="00E3316C" w:rsidRPr="00102618" w:rsidRDefault="00000000">
      <w:pPr>
        <w:rPr>
          <w:rFonts w:ascii="Garamond" w:hAnsi="Garamond"/>
          <w:sz w:val="24"/>
          <w:szCs w:val="24"/>
        </w:rPr>
      </w:pPr>
      <w:r w:rsidRPr="00102618">
        <w:rPr>
          <w:rFonts w:ascii="Garamond" w:hAnsi="Garamond"/>
          <w:sz w:val="24"/>
          <w:szCs w:val="24"/>
        </w:rPr>
        <w:br w:type="page"/>
      </w:r>
    </w:p>
    <w:p w14:paraId="27931579" w14:textId="77777777" w:rsidR="00E3316C" w:rsidRPr="00E40C5D" w:rsidRDefault="00000000">
      <w:pPr>
        <w:pStyle w:val="Heading2"/>
        <w:pBdr>
          <w:bottom w:val="single" w:sz="6" w:space="1" w:color="2E75B6"/>
        </w:pBdr>
        <w:rPr>
          <w:rFonts w:ascii="Garamond" w:hAnsi="Garamond"/>
          <w:color w:val="000000" w:themeColor="text1"/>
          <w:sz w:val="24"/>
          <w:szCs w:val="24"/>
        </w:rPr>
      </w:pPr>
      <w:r w:rsidRPr="00E40C5D">
        <w:rPr>
          <w:rFonts w:ascii="Garamond" w:hAnsi="Garamond"/>
          <w:color w:val="000000" w:themeColor="text1"/>
          <w:sz w:val="24"/>
          <w:szCs w:val="24"/>
        </w:rPr>
        <w:lastRenderedPageBreak/>
        <w:t>Section 4. How to Use This Toolkit</w:t>
      </w:r>
    </w:p>
    <w:p w14:paraId="50AB9D65" w14:textId="77777777" w:rsidR="00E3316C" w:rsidRPr="00102618" w:rsidRDefault="00000000">
      <w:pPr>
        <w:spacing w:after="120"/>
        <w:rPr>
          <w:rFonts w:ascii="Garamond" w:hAnsi="Garamond"/>
          <w:sz w:val="24"/>
          <w:szCs w:val="24"/>
        </w:rPr>
      </w:pPr>
      <w:r w:rsidRPr="00102618">
        <w:rPr>
          <w:rFonts w:ascii="Garamond" w:hAnsi="Garamond"/>
          <w:sz w:val="24"/>
          <w:szCs w:val="24"/>
        </w:rPr>
        <w:t>The CIAS Toolkit is designed to support practitioners from intake through case closure by organizing trauma-informed, legally useful documentation of trauma, resilience, cultural strengths, structural barriers, interpreter effects, and barriers to disclosure. It is modular and may be used as a full-service representation workflow or selectively for limited-scope representation, assisted pro se support, psychosocial documentation, or declaration review. The toolkit is anchored in the CIAS framework's four analytic lenses—U.S. climate, developmental context, economic context, and cultural context—which help practitioners apply the minimum necessary context to interpret credibility, nexus, delay, relocation, and future fear more accurately.</w:t>
      </w:r>
    </w:p>
    <w:p w14:paraId="62C20EBF" w14:textId="77777777" w:rsidR="00E3316C" w:rsidRPr="00102618" w:rsidRDefault="00E3316C">
      <w:pPr>
        <w:spacing w:before="60" w:after="60"/>
        <w:rPr>
          <w:rFonts w:ascii="Garamond" w:hAnsi="Garamond"/>
          <w:sz w:val="24"/>
          <w:szCs w:val="24"/>
        </w:rPr>
      </w:pPr>
    </w:p>
    <w:p w14:paraId="49BC942C" w14:textId="77777777" w:rsidR="00E3316C" w:rsidRPr="00E40C5D" w:rsidRDefault="00000000">
      <w:pPr>
        <w:pStyle w:val="Heading3"/>
        <w:rPr>
          <w:rFonts w:ascii="Garamond" w:hAnsi="Garamond"/>
          <w:color w:val="000000" w:themeColor="text1"/>
          <w:sz w:val="24"/>
          <w:szCs w:val="24"/>
        </w:rPr>
      </w:pPr>
      <w:proofErr w:type="gramStart"/>
      <w:r w:rsidRPr="00E40C5D">
        <w:rPr>
          <w:rFonts w:ascii="Garamond" w:hAnsi="Garamond"/>
          <w:color w:val="000000" w:themeColor="text1"/>
          <w:sz w:val="24"/>
          <w:szCs w:val="24"/>
        </w:rPr>
        <w:t>4.1  Who</w:t>
      </w:r>
      <w:proofErr w:type="gramEnd"/>
      <w:r w:rsidRPr="00E40C5D">
        <w:rPr>
          <w:rFonts w:ascii="Garamond" w:hAnsi="Garamond"/>
          <w:color w:val="000000" w:themeColor="text1"/>
          <w:sz w:val="24"/>
          <w:szCs w:val="24"/>
        </w:rPr>
        <w:t xml:space="preserve"> This Toolkit Is For</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20"/>
        <w:gridCol w:w="3320"/>
        <w:gridCol w:w="3480"/>
      </w:tblGrid>
      <w:tr w:rsidR="00E3316C" w:rsidRPr="00102618" w14:paraId="5A9D1967" w14:textId="77777777">
        <w:trPr>
          <w:tblHeader/>
        </w:trPr>
        <w:tc>
          <w:tcPr>
            <w:tcW w:w="29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628D2D34" w14:textId="77777777" w:rsidR="00E3316C" w:rsidRPr="00102618" w:rsidRDefault="00000000">
            <w:pPr>
              <w:rPr>
                <w:rFonts w:ascii="Garamond" w:hAnsi="Garamond"/>
                <w:sz w:val="24"/>
                <w:szCs w:val="24"/>
              </w:rPr>
            </w:pPr>
            <w:r w:rsidRPr="00102618">
              <w:rPr>
                <w:rFonts w:ascii="Garamond" w:hAnsi="Garamond"/>
                <w:b/>
                <w:bCs/>
                <w:color w:val="FFFFFF"/>
                <w:sz w:val="24"/>
                <w:szCs w:val="24"/>
              </w:rPr>
              <w:t>Track</w:t>
            </w:r>
          </w:p>
        </w:tc>
        <w:tc>
          <w:tcPr>
            <w:tcW w:w="33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5D0C2032" w14:textId="77777777" w:rsidR="00E3316C" w:rsidRPr="00102618" w:rsidRDefault="00000000">
            <w:pPr>
              <w:rPr>
                <w:rFonts w:ascii="Garamond" w:hAnsi="Garamond"/>
                <w:sz w:val="24"/>
                <w:szCs w:val="24"/>
              </w:rPr>
            </w:pPr>
            <w:r w:rsidRPr="00102618">
              <w:rPr>
                <w:rFonts w:ascii="Garamond" w:hAnsi="Garamond"/>
                <w:b/>
                <w:bCs/>
                <w:color w:val="FFFFFF"/>
                <w:sz w:val="24"/>
                <w:szCs w:val="24"/>
              </w:rPr>
              <w:t>Primary Users</w:t>
            </w:r>
          </w:p>
        </w:tc>
        <w:tc>
          <w:tcPr>
            <w:tcW w:w="348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353C051E" w14:textId="77777777" w:rsidR="00E3316C" w:rsidRPr="00102618" w:rsidRDefault="00000000">
            <w:pPr>
              <w:rPr>
                <w:rFonts w:ascii="Garamond" w:hAnsi="Garamond"/>
                <w:sz w:val="24"/>
                <w:szCs w:val="24"/>
              </w:rPr>
            </w:pPr>
            <w:r w:rsidRPr="00102618">
              <w:rPr>
                <w:rFonts w:ascii="Garamond" w:hAnsi="Garamond"/>
                <w:b/>
                <w:bCs/>
                <w:color w:val="FFFFFF"/>
                <w:sz w:val="24"/>
                <w:szCs w:val="24"/>
              </w:rPr>
              <w:t>Typical Use</w:t>
            </w:r>
          </w:p>
        </w:tc>
      </w:tr>
      <w:tr w:rsidR="00E3316C" w:rsidRPr="00102618" w14:paraId="7F97068E" w14:textId="77777777">
        <w:tc>
          <w:tcPr>
            <w:tcW w:w="29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7E46586" w14:textId="77777777" w:rsidR="00E3316C" w:rsidRPr="00102618" w:rsidRDefault="00000000">
            <w:pPr>
              <w:rPr>
                <w:rFonts w:ascii="Garamond" w:hAnsi="Garamond"/>
                <w:sz w:val="24"/>
                <w:szCs w:val="24"/>
              </w:rPr>
            </w:pPr>
            <w:r w:rsidRPr="00102618">
              <w:rPr>
                <w:rFonts w:ascii="Garamond" w:hAnsi="Garamond"/>
                <w:sz w:val="24"/>
                <w:szCs w:val="24"/>
              </w:rPr>
              <w:t>A. Full-service asylum representation</w:t>
            </w:r>
          </w:p>
        </w:tc>
        <w:tc>
          <w:tcPr>
            <w:tcW w:w="33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7017AF1A" w14:textId="77777777" w:rsidR="00E3316C" w:rsidRPr="00102618" w:rsidRDefault="00000000">
            <w:pPr>
              <w:rPr>
                <w:rFonts w:ascii="Garamond" w:hAnsi="Garamond"/>
                <w:sz w:val="24"/>
                <w:szCs w:val="24"/>
              </w:rPr>
            </w:pPr>
            <w:r w:rsidRPr="00102618">
              <w:rPr>
                <w:rFonts w:ascii="Garamond" w:hAnsi="Garamond"/>
                <w:sz w:val="24"/>
                <w:szCs w:val="24"/>
              </w:rPr>
              <w:t>Attorneys and accredited representatives</w:t>
            </w:r>
          </w:p>
        </w:tc>
        <w:tc>
          <w:tcPr>
            <w:tcW w:w="34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7A56816" w14:textId="77777777" w:rsidR="00E3316C" w:rsidRPr="00102618" w:rsidRDefault="00000000">
            <w:pPr>
              <w:rPr>
                <w:rFonts w:ascii="Garamond" w:hAnsi="Garamond"/>
                <w:sz w:val="24"/>
                <w:szCs w:val="24"/>
              </w:rPr>
            </w:pPr>
            <w:r w:rsidRPr="00102618">
              <w:rPr>
                <w:rFonts w:ascii="Garamond" w:hAnsi="Garamond"/>
                <w:sz w:val="24"/>
                <w:szCs w:val="24"/>
              </w:rPr>
              <w:t>Multi-meeting client interviews, narrative development, affidavit drafting, evidence planning, interview preparation, and credibility-sensitive documentation.</w:t>
            </w:r>
          </w:p>
        </w:tc>
      </w:tr>
      <w:tr w:rsidR="00E3316C" w:rsidRPr="00102618" w14:paraId="2CB2CC5D" w14:textId="77777777">
        <w:tc>
          <w:tcPr>
            <w:tcW w:w="29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5FE36B5F" w14:textId="77777777" w:rsidR="00E3316C" w:rsidRPr="00102618" w:rsidRDefault="00000000">
            <w:pPr>
              <w:rPr>
                <w:rFonts w:ascii="Garamond" w:hAnsi="Garamond"/>
                <w:sz w:val="24"/>
                <w:szCs w:val="24"/>
              </w:rPr>
            </w:pPr>
            <w:r w:rsidRPr="00102618">
              <w:rPr>
                <w:rFonts w:ascii="Garamond" w:hAnsi="Garamond"/>
                <w:sz w:val="24"/>
                <w:szCs w:val="24"/>
              </w:rPr>
              <w:t xml:space="preserve">B. </w:t>
            </w:r>
            <w:proofErr w:type="gramStart"/>
            <w:r w:rsidRPr="00102618">
              <w:rPr>
                <w:rFonts w:ascii="Garamond" w:hAnsi="Garamond"/>
                <w:sz w:val="24"/>
                <w:szCs w:val="24"/>
              </w:rPr>
              <w:t>Limited-scope</w:t>
            </w:r>
            <w:proofErr w:type="gramEnd"/>
            <w:r w:rsidRPr="00102618">
              <w:rPr>
                <w:rFonts w:ascii="Garamond" w:hAnsi="Garamond"/>
                <w:sz w:val="24"/>
                <w:szCs w:val="24"/>
              </w:rPr>
              <w:t xml:space="preserve"> / assisted pro se support</w:t>
            </w:r>
          </w:p>
        </w:tc>
        <w:tc>
          <w:tcPr>
            <w:tcW w:w="33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329B0A08" w14:textId="77777777" w:rsidR="00E3316C" w:rsidRPr="00102618" w:rsidRDefault="00000000">
            <w:pPr>
              <w:rPr>
                <w:rFonts w:ascii="Garamond" w:hAnsi="Garamond"/>
                <w:sz w:val="24"/>
                <w:szCs w:val="24"/>
              </w:rPr>
            </w:pPr>
            <w:r w:rsidRPr="00102618">
              <w:rPr>
                <w:rFonts w:ascii="Garamond" w:hAnsi="Garamond"/>
                <w:sz w:val="24"/>
                <w:szCs w:val="24"/>
              </w:rPr>
              <w:t>Legal aid attorneys, pro bono attorneys, legal navigators, supervised volunteers</w:t>
            </w:r>
          </w:p>
        </w:tc>
        <w:tc>
          <w:tcPr>
            <w:tcW w:w="348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00DCABAD" w14:textId="77777777" w:rsidR="00E3316C" w:rsidRPr="00102618" w:rsidRDefault="00000000">
            <w:pPr>
              <w:rPr>
                <w:rFonts w:ascii="Garamond" w:hAnsi="Garamond"/>
                <w:sz w:val="24"/>
                <w:szCs w:val="24"/>
              </w:rPr>
            </w:pPr>
            <w:r w:rsidRPr="00102618">
              <w:rPr>
                <w:rFonts w:ascii="Garamond" w:hAnsi="Garamond"/>
                <w:sz w:val="24"/>
                <w:szCs w:val="24"/>
              </w:rPr>
              <w:t>Intake, issue spotting, story organization, affidavit coaching, and preparation support when full representation is not available.</w:t>
            </w:r>
          </w:p>
        </w:tc>
      </w:tr>
      <w:tr w:rsidR="00E3316C" w:rsidRPr="00102618" w14:paraId="05A936D2" w14:textId="77777777">
        <w:tc>
          <w:tcPr>
            <w:tcW w:w="29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6256CE52" w14:textId="77777777" w:rsidR="00E3316C" w:rsidRPr="00102618" w:rsidRDefault="00000000">
            <w:pPr>
              <w:rPr>
                <w:rFonts w:ascii="Garamond" w:hAnsi="Garamond"/>
                <w:sz w:val="24"/>
                <w:szCs w:val="24"/>
              </w:rPr>
            </w:pPr>
            <w:r w:rsidRPr="00102618">
              <w:rPr>
                <w:rFonts w:ascii="Garamond" w:hAnsi="Garamond"/>
                <w:sz w:val="24"/>
                <w:szCs w:val="24"/>
              </w:rPr>
              <w:t>C. Clinical / social work / psychosocial support roles</w:t>
            </w:r>
          </w:p>
        </w:tc>
        <w:tc>
          <w:tcPr>
            <w:tcW w:w="33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37361085" w14:textId="77777777" w:rsidR="00E3316C" w:rsidRPr="00102618" w:rsidRDefault="00000000">
            <w:pPr>
              <w:rPr>
                <w:rFonts w:ascii="Garamond" w:hAnsi="Garamond"/>
                <w:sz w:val="24"/>
                <w:szCs w:val="24"/>
              </w:rPr>
            </w:pPr>
            <w:r w:rsidRPr="00102618">
              <w:rPr>
                <w:rFonts w:ascii="Garamond" w:hAnsi="Garamond"/>
                <w:sz w:val="24"/>
                <w:szCs w:val="24"/>
              </w:rPr>
              <w:t>Social workers, clinicians, counselors, psychosocial advocates</w:t>
            </w:r>
          </w:p>
        </w:tc>
        <w:tc>
          <w:tcPr>
            <w:tcW w:w="34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30248FB1" w14:textId="77777777" w:rsidR="00E3316C" w:rsidRPr="00102618" w:rsidRDefault="00000000">
            <w:pPr>
              <w:rPr>
                <w:rFonts w:ascii="Garamond" w:hAnsi="Garamond"/>
                <w:sz w:val="24"/>
                <w:szCs w:val="24"/>
              </w:rPr>
            </w:pPr>
            <w:r w:rsidRPr="00102618">
              <w:rPr>
                <w:rFonts w:ascii="Garamond" w:hAnsi="Garamond"/>
                <w:sz w:val="24"/>
                <w:szCs w:val="24"/>
              </w:rPr>
              <w:t>Contextual documentation of functioning, coping, trauma-related barriers to disclosure, strengths, safety, and structural barriers aligned with legal needs.</w:t>
            </w:r>
          </w:p>
        </w:tc>
      </w:tr>
    </w:tbl>
    <w:p w14:paraId="47A8CEA3" w14:textId="77777777" w:rsidR="00E3316C" w:rsidRPr="00102618" w:rsidRDefault="00E3316C">
      <w:pPr>
        <w:spacing w:before="60" w:after="60"/>
        <w:rPr>
          <w:rFonts w:ascii="Garamond" w:hAnsi="Garamond"/>
          <w:sz w:val="24"/>
          <w:szCs w:val="24"/>
        </w:rPr>
      </w:pPr>
    </w:p>
    <w:p w14:paraId="320C0D78" w14:textId="77777777" w:rsidR="00E3316C" w:rsidRPr="00E40C5D" w:rsidRDefault="00000000">
      <w:pPr>
        <w:pStyle w:val="Heading3"/>
        <w:rPr>
          <w:rFonts w:ascii="Garamond" w:hAnsi="Garamond"/>
          <w:color w:val="000000" w:themeColor="text1"/>
          <w:sz w:val="24"/>
          <w:szCs w:val="24"/>
        </w:rPr>
      </w:pPr>
      <w:proofErr w:type="gramStart"/>
      <w:r w:rsidRPr="00E40C5D">
        <w:rPr>
          <w:rFonts w:ascii="Garamond" w:hAnsi="Garamond"/>
          <w:color w:val="000000" w:themeColor="text1"/>
          <w:sz w:val="24"/>
          <w:szCs w:val="24"/>
        </w:rPr>
        <w:t>4.2  Core</w:t>
      </w:r>
      <w:proofErr w:type="gramEnd"/>
      <w:r w:rsidRPr="00E40C5D">
        <w:rPr>
          <w:rFonts w:ascii="Garamond" w:hAnsi="Garamond"/>
          <w:color w:val="000000" w:themeColor="text1"/>
          <w:sz w:val="24"/>
          <w:szCs w:val="24"/>
        </w:rPr>
        <w:t xml:space="preserve"> Design Principles</w:t>
      </w:r>
    </w:p>
    <w:p w14:paraId="136D8EA9" w14:textId="77777777" w:rsidR="00E3316C" w:rsidRPr="00E40C5D" w:rsidRDefault="00000000">
      <w:pPr>
        <w:spacing w:after="120"/>
        <w:rPr>
          <w:rFonts w:ascii="Garamond" w:hAnsi="Garamond"/>
          <w:color w:val="000000" w:themeColor="text1"/>
          <w:sz w:val="24"/>
          <w:szCs w:val="24"/>
        </w:rPr>
      </w:pPr>
      <w:r w:rsidRPr="00E40C5D">
        <w:rPr>
          <w:rFonts w:ascii="Garamond" w:hAnsi="Garamond"/>
          <w:color w:val="000000" w:themeColor="text1"/>
          <w:sz w:val="24"/>
          <w:szCs w:val="24"/>
        </w:rPr>
        <w:t>This toolkit is guided by a set of design principles that shape both the sequence shown in the toolkit map and the use of each tool across the case workflow. These principles reflect the central CIAS premise that asylum narrative development is staged, context-dependent, and shaped by trust, timing, language, and institutional constraint.</w:t>
      </w:r>
    </w:p>
    <w:p w14:paraId="6D06A99B"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Workflow</w:t>
      </w:r>
      <w:proofErr w:type="gramEnd"/>
      <w:r w:rsidRPr="00E40C5D">
        <w:rPr>
          <w:rFonts w:ascii="Garamond" w:hAnsi="Garamond"/>
          <w:color w:val="000000" w:themeColor="text1"/>
          <w:sz w:val="24"/>
          <w:szCs w:val="24"/>
        </w:rPr>
        <w:t xml:space="preserve"> reality: intake screens the claim; full narrative development usually occurs over multiple meetings as trust develops.</w:t>
      </w:r>
    </w:p>
    <w:p w14:paraId="33A592B3"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Minimum</w:t>
      </w:r>
      <w:proofErr w:type="gramEnd"/>
      <w:r w:rsidRPr="00E40C5D">
        <w:rPr>
          <w:rFonts w:ascii="Garamond" w:hAnsi="Garamond"/>
          <w:color w:val="000000" w:themeColor="text1"/>
          <w:sz w:val="24"/>
          <w:szCs w:val="24"/>
        </w:rPr>
        <w:t xml:space="preserve"> viable structure: tools should reduce omission and assumption traps without overwhelming practitioners under time pressure.</w:t>
      </w:r>
    </w:p>
    <w:p w14:paraId="71F9AC60"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Stage</w:t>
      </w:r>
      <w:proofErr w:type="gramEnd"/>
      <w:r w:rsidRPr="00E40C5D">
        <w:rPr>
          <w:rFonts w:ascii="Garamond" w:hAnsi="Garamond"/>
          <w:color w:val="000000" w:themeColor="text1"/>
          <w:sz w:val="24"/>
          <w:szCs w:val="24"/>
        </w:rPr>
        <w:t xml:space="preserve"> matters: questions should be matched to where the client is in the case, not asked in the same way at every meeting.</w:t>
      </w:r>
    </w:p>
    <w:p w14:paraId="1256C66E"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lastRenderedPageBreak/>
        <w:t>☐</w:t>
      </w:r>
      <w:r w:rsidRPr="00E40C5D">
        <w:rPr>
          <w:rFonts w:ascii="Garamond" w:hAnsi="Garamond"/>
          <w:color w:val="000000" w:themeColor="text1"/>
          <w:sz w:val="24"/>
          <w:szCs w:val="24"/>
        </w:rPr>
        <w:t xml:space="preserve">  Neutral</w:t>
      </w:r>
      <w:proofErr w:type="gramEnd"/>
      <w:r w:rsidRPr="00E40C5D">
        <w:rPr>
          <w:rFonts w:ascii="Garamond" w:hAnsi="Garamond"/>
          <w:color w:val="000000" w:themeColor="text1"/>
          <w:sz w:val="24"/>
          <w:szCs w:val="24"/>
        </w:rPr>
        <w:t xml:space="preserve"> documentation: delayed disclosure, fragmented recall, and uneven affect should be documented carefully and without blame.</w:t>
      </w:r>
    </w:p>
    <w:p w14:paraId="26071E7D"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Interdisciplinary</w:t>
      </w:r>
      <w:proofErr w:type="gramEnd"/>
      <w:r w:rsidRPr="00E40C5D">
        <w:rPr>
          <w:rFonts w:ascii="Garamond" w:hAnsi="Garamond"/>
          <w:color w:val="000000" w:themeColor="text1"/>
          <w:sz w:val="24"/>
          <w:szCs w:val="24"/>
        </w:rPr>
        <w:t xml:space="preserve"> utility: the toolkit should work for attorneys while still preserving meaningful roles for social work and psychosocial documentation.</w:t>
      </w:r>
    </w:p>
    <w:p w14:paraId="7A29618C"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Client</w:t>
      </w:r>
      <w:proofErr w:type="gramEnd"/>
      <w:r w:rsidRPr="00E40C5D">
        <w:rPr>
          <w:rFonts w:ascii="Garamond" w:hAnsi="Garamond"/>
          <w:color w:val="000000" w:themeColor="text1"/>
          <w:sz w:val="24"/>
          <w:szCs w:val="24"/>
        </w:rPr>
        <w:t xml:space="preserve"> voice plus structured reasoning: the goal is to preserve the client's language while giving the practitioner a better logic for what to ask, what to defer, and what to explain.</w:t>
      </w:r>
    </w:p>
    <w:p w14:paraId="20902448" w14:textId="77777777" w:rsidR="00E3316C" w:rsidRPr="00E40C5D" w:rsidRDefault="00E3316C">
      <w:pPr>
        <w:spacing w:before="60" w:after="60"/>
        <w:rPr>
          <w:rFonts w:ascii="Garamond" w:hAnsi="Garamond"/>
          <w:color w:val="000000" w:themeColor="text1"/>
          <w:sz w:val="24"/>
          <w:szCs w:val="24"/>
        </w:rPr>
      </w:pPr>
    </w:p>
    <w:p w14:paraId="54CCB1B3" w14:textId="77777777" w:rsidR="00E3316C" w:rsidRPr="00E40C5D" w:rsidRDefault="00000000">
      <w:pPr>
        <w:pStyle w:val="Heading3"/>
        <w:rPr>
          <w:rFonts w:ascii="Garamond" w:hAnsi="Garamond"/>
          <w:color w:val="000000" w:themeColor="text1"/>
          <w:sz w:val="24"/>
          <w:szCs w:val="24"/>
        </w:rPr>
      </w:pPr>
      <w:proofErr w:type="gramStart"/>
      <w:r w:rsidRPr="00E40C5D">
        <w:rPr>
          <w:rFonts w:ascii="Garamond" w:hAnsi="Garamond"/>
          <w:color w:val="000000" w:themeColor="text1"/>
          <w:sz w:val="24"/>
          <w:szCs w:val="24"/>
        </w:rPr>
        <w:t>4.3  Trauma</w:t>
      </w:r>
      <w:proofErr w:type="gramEnd"/>
      <w:r w:rsidRPr="00E40C5D">
        <w:rPr>
          <w:rFonts w:ascii="Garamond" w:hAnsi="Garamond"/>
          <w:color w:val="000000" w:themeColor="text1"/>
          <w:sz w:val="24"/>
          <w:szCs w:val="24"/>
        </w:rPr>
        <w:t>-Informed Practice Model</w:t>
      </w:r>
    </w:p>
    <w:p w14:paraId="4BCA0E2C" w14:textId="77777777" w:rsidR="00E3316C" w:rsidRPr="00E40C5D" w:rsidRDefault="00000000">
      <w:pPr>
        <w:spacing w:after="120"/>
        <w:rPr>
          <w:rFonts w:ascii="Garamond" w:hAnsi="Garamond"/>
          <w:color w:val="000000" w:themeColor="text1"/>
          <w:sz w:val="24"/>
          <w:szCs w:val="24"/>
        </w:rPr>
      </w:pPr>
      <w:r w:rsidRPr="00E40C5D">
        <w:rPr>
          <w:rFonts w:ascii="Garamond" w:hAnsi="Garamond"/>
          <w:color w:val="000000" w:themeColor="text1"/>
          <w:sz w:val="24"/>
          <w:szCs w:val="24"/>
        </w:rPr>
        <w:t>The CIAS toolkit is grounded in a trauma-informed model that treats disclosure as shaped by safety, trust, language, power, and context rather than by simple willingness to speak (SAMHSA, 2014; U.S. Committee for Refugees and Immigrants, 2021). The principles below translate that model into operational guidance for structuring meetings, pacing inquiry, and documenting narrative difficulty neutrally.</w:t>
      </w:r>
    </w:p>
    <w:p w14:paraId="218E8846" w14:textId="77777777" w:rsidR="00E3316C" w:rsidRPr="00E40C5D" w:rsidRDefault="00000000">
      <w:pPr>
        <w:pStyle w:val="Heading4"/>
        <w:rPr>
          <w:rFonts w:ascii="Garamond" w:hAnsi="Garamond"/>
          <w:color w:val="000000" w:themeColor="text1"/>
          <w:sz w:val="24"/>
          <w:szCs w:val="24"/>
        </w:rPr>
      </w:pPr>
      <w:r w:rsidRPr="00E40C5D">
        <w:rPr>
          <w:rFonts w:ascii="Garamond" w:hAnsi="Garamond"/>
          <w:color w:val="000000" w:themeColor="text1"/>
          <w:sz w:val="24"/>
          <w:szCs w:val="24"/>
        </w:rPr>
        <w:t>1.  Safety and predictability</w:t>
      </w:r>
    </w:p>
    <w:p w14:paraId="740EBA8C" w14:textId="77777777" w:rsidR="00E3316C" w:rsidRPr="00E40C5D" w:rsidRDefault="00000000">
      <w:pPr>
        <w:spacing w:after="120"/>
        <w:rPr>
          <w:rFonts w:ascii="Garamond" w:hAnsi="Garamond"/>
          <w:color w:val="000000" w:themeColor="text1"/>
          <w:sz w:val="24"/>
          <w:szCs w:val="24"/>
        </w:rPr>
      </w:pPr>
      <w:r w:rsidRPr="00E40C5D">
        <w:rPr>
          <w:rFonts w:ascii="Garamond" w:hAnsi="Garamond"/>
          <w:color w:val="000000" w:themeColor="text1"/>
          <w:sz w:val="24"/>
          <w:szCs w:val="24"/>
        </w:rPr>
        <w:t>The client should understand the purpose of the meeting, what will happen, and what can wait.</w:t>
      </w:r>
    </w:p>
    <w:p w14:paraId="741773E2" w14:textId="77777777" w:rsidR="00E3316C" w:rsidRPr="00E40C5D" w:rsidRDefault="00000000">
      <w:pPr>
        <w:pStyle w:val="Heading4"/>
        <w:rPr>
          <w:rFonts w:ascii="Garamond" w:hAnsi="Garamond"/>
          <w:color w:val="000000" w:themeColor="text1"/>
          <w:sz w:val="24"/>
          <w:szCs w:val="24"/>
        </w:rPr>
      </w:pPr>
      <w:r w:rsidRPr="00E40C5D">
        <w:rPr>
          <w:rFonts w:ascii="Garamond" w:hAnsi="Garamond"/>
          <w:color w:val="000000" w:themeColor="text1"/>
          <w:sz w:val="24"/>
          <w:szCs w:val="24"/>
        </w:rPr>
        <w:t>2.  Transparency and role clarity</w:t>
      </w:r>
    </w:p>
    <w:p w14:paraId="42C59C03" w14:textId="77777777" w:rsidR="00E3316C" w:rsidRPr="00E40C5D" w:rsidRDefault="00000000">
      <w:pPr>
        <w:spacing w:after="120"/>
        <w:rPr>
          <w:rFonts w:ascii="Garamond" w:hAnsi="Garamond"/>
          <w:color w:val="000000" w:themeColor="text1"/>
          <w:sz w:val="24"/>
          <w:szCs w:val="24"/>
        </w:rPr>
      </w:pPr>
      <w:r w:rsidRPr="00E40C5D">
        <w:rPr>
          <w:rFonts w:ascii="Garamond" w:hAnsi="Garamond"/>
          <w:color w:val="000000" w:themeColor="text1"/>
          <w:sz w:val="24"/>
          <w:szCs w:val="24"/>
        </w:rPr>
        <w:t>The practitioner explains their role, the limits of confidentiality, how notes will be used, and how the interview fits the legal case.</w:t>
      </w:r>
    </w:p>
    <w:p w14:paraId="31FF031F" w14:textId="77777777" w:rsidR="00E3316C" w:rsidRPr="00E40C5D" w:rsidRDefault="00000000">
      <w:pPr>
        <w:pStyle w:val="Heading4"/>
        <w:rPr>
          <w:rFonts w:ascii="Garamond" w:hAnsi="Garamond"/>
          <w:color w:val="000000" w:themeColor="text1"/>
          <w:sz w:val="24"/>
          <w:szCs w:val="24"/>
        </w:rPr>
      </w:pPr>
      <w:r w:rsidRPr="00E40C5D">
        <w:rPr>
          <w:rFonts w:ascii="Garamond" w:hAnsi="Garamond"/>
          <w:color w:val="000000" w:themeColor="text1"/>
          <w:sz w:val="24"/>
          <w:szCs w:val="24"/>
        </w:rPr>
        <w:t>3.  Pacing and choice</w:t>
      </w:r>
    </w:p>
    <w:p w14:paraId="1F27828C" w14:textId="77777777" w:rsidR="00E3316C" w:rsidRPr="00E40C5D" w:rsidRDefault="00000000">
      <w:pPr>
        <w:spacing w:after="120"/>
        <w:rPr>
          <w:rFonts w:ascii="Garamond" w:hAnsi="Garamond"/>
          <w:color w:val="000000" w:themeColor="text1"/>
          <w:sz w:val="24"/>
          <w:szCs w:val="24"/>
        </w:rPr>
      </w:pPr>
      <w:r w:rsidRPr="00E40C5D">
        <w:rPr>
          <w:rFonts w:ascii="Garamond" w:hAnsi="Garamond"/>
          <w:color w:val="000000" w:themeColor="text1"/>
          <w:sz w:val="24"/>
          <w:szCs w:val="24"/>
        </w:rPr>
        <w:t>Important facts may emerge gradually; pressing too hard too early can reduce both trust and information quality.</w:t>
      </w:r>
    </w:p>
    <w:p w14:paraId="49C7F6DF" w14:textId="77777777" w:rsidR="00E3316C" w:rsidRPr="00E40C5D" w:rsidRDefault="00000000">
      <w:pPr>
        <w:pStyle w:val="Heading4"/>
        <w:rPr>
          <w:rFonts w:ascii="Garamond" w:hAnsi="Garamond"/>
          <w:color w:val="000000" w:themeColor="text1"/>
          <w:sz w:val="24"/>
          <w:szCs w:val="24"/>
        </w:rPr>
      </w:pPr>
      <w:r w:rsidRPr="00E40C5D">
        <w:rPr>
          <w:rFonts w:ascii="Garamond" w:hAnsi="Garamond"/>
          <w:color w:val="000000" w:themeColor="text1"/>
          <w:sz w:val="24"/>
          <w:szCs w:val="24"/>
        </w:rPr>
        <w:t>4.  Client voice plus neutral documentation</w:t>
      </w:r>
    </w:p>
    <w:p w14:paraId="1756A3D4" w14:textId="77777777" w:rsidR="00E3316C" w:rsidRPr="00E40C5D" w:rsidRDefault="00000000">
      <w:pPr>
        <w:spacing w:after="120"/>
        <w:rPr>
          <w:rFonts w:ascii="Garamond" w:hAnsi="Garamond"/>
          <w:color w:val="000000" w:themeColor="text1"/>
          <w:sz w:val="24"/>
          <w:szCs w:val="24"/>
        </w:rPr>
      </w:pPr>
      <w:r w:rsidRPr="00E40C5D">
        <w:rPr>
          <w:rFonts w:ascii="Garamond" w:hAnsi="Garamond"/>
          <w:color w:val="000000" w:themeColor="text1"/>
          <w:sz w:val="24"/>
          <w:szCs w:val="24"/>
        </w:rPr>
        <w:t>The record should preserve the client's own language where possible while using restrained, non-blaming clarifications for delay, fragmentation, or chronology difficulty.</w:t>
      </w:r>
    </w:p>
    <w:p w14:paraId="71D7B52F" w14:textId="77777777" w:rsidR="00E3316C" w:rsidRPr="00E40C5D" w:rsidRDefault="00000000">
      <w:pPr>
        <w:pStyle w:val="Heading4"/>
        <w:rPr>
          <w:rFonts w:ascii="Garamond" w:hAnsi="Garamond"/>
          <w:color w:val="000000" w:themeColor="text1"/>
          <w:sz w:val="24"/>
          <w:szCs w:val="24"/>
        </w:rPr>
      </w:pPr>
      <w:r w:rsidRPr="00E40C5D">
        <w:rPr>
          <w:rFonts w:ascii="Garamond" w:hAnsi="Garamond"/>
          <w:color w:val="000000" w:themeColor="text1"/>
          <w:sz w:val="24"/>
          <w:szCs w:val="24"/>
        </w:rPr>
        <w:t>5.  Interdisciplinary humility</w:t>
      </w:r>
    </w:p>
    <w:p w14:paraId="7B4EBC9D" w14:textId="77777777" w:rsidR="00E3316C" w:rsidRPr="00E40C5D" w:rsidRDefault="00000000">
      <w:pPr>
        <w:spacing w:after="120"/>
        <w:rPr>
          <w:rFonts w:ascii="Garamond" w:hAnsi="Garamond"/>
          <w:color w:val="000000" w:themeColor="text1"/>
          <w:sz w:val="24"/>
          <w:szCs w:val="24"/>
        </w:rPr>
      </w:pPr>
      <w:r w:rsidRPr="00E40C5D">
        <w:rPr>
          <w:rFonts w:ascii="Garamond" w:hAnsi="Garamond"/>
          <w:color w:val="000000" w:themeColor="text1"/>
          <w:sz w:val="24"/>
          <w:szCs w:val="24"/>
        </w:rPr>
        <w:t>Legal, social work, and psychosocial inputs may all be necessary to understand why a story is emerging in a particular way.</w:t>
      </w:r>
    </w:p>
    <w:p w14:paraId="16A6CC7F" w14:textId="77777777" w:rsidR="00E3316C" w:rsidRPr="00E40C5D" w:rsidRDefault="00000000">
      <w:pPr>
        <w:pStyle w:val="Heading4"/>
        <w:rPr>
          <w:rFonts w:ascii="Garamond" w:hAnsi="Garamond"/>
          <w:color w:val="000000" w:themeColor="text1"/>
          <w:sz w:val="24"/>
          <w:szCs w:val="24"/>
        </w:rPr>
      </w:pPr>
      <w:r w:rsidRPr="00E40C5D">
        <w:rPr>
          <w:rFonts w:ascii="Garamond" w:hAnsi="Garamond"/>
          <w:color w:val="000000" w:themeColor="text1"/>
          <w:sz w:val="24"/>
          <w:szCs w:val="24"/>
        </w:rPr>
        <w:t xml:space="preserve">6.  Resist </w:t>
      </w:r>
      <w:proofErr w:type="spellStart"/>
      <w:r w:rsidRPr="00E40C5D">
        <w:rPr>
          <w:rFonts w:ascii="Garamond" w:hAnsi="Garamond"/>
          <w:color w:val="000000" w:themeColor="text1"/>
          <w:sz w:val="24"/>
          <w:szCs w:val="24"/>
        </w:rPr>
        <w:t>retraumatization</w:t>
      </w:r>
      <w:proofErr w:type="spellEnd"/>
    </w:p>
    <w:p w14:paraId="17FFE88D" w14:textId="77777777" w:rsidR="00E3316C" w:rsidRPr="00E40C5D" w:rsidRDefault="00000000">
      <w:pPr>
        <w:spacing w:after="120"/>
        <w:rPr>
          <w:rFonts w:ascii="Garamond" w:hAnsi="Garamond"/>
          <w:color w:val="000000" w:themeColor="text1"/>
          <w:sz w:val="24"/>
          <w:szCs w:val="24"/>
        </w:rPr>
      </w:pPr>
      <w:r w:rsidRPr="00E40C5D">
        <w:rPr>
          <w:rFonts w:ascii="Garamond" w:hAnsi="Garamond"/>
          <w:color w:val="000000" w:themeColor="text1"/>
          <w:sz w:val="24"/>
          <w:szCs w:val="24"/>
        </w:rPr>
        <w:t>Adopt trauma-informed principles of safety, trustworthiness, collaboration, empowerment, and cultural, historical, and gender responsiveness (SAMHSA, 2014; U.S. Committee for Refugees and Immigrants, 2021).</w:t>
      </w:r>
    </w:p>
    <w:p w14:paraId="4F89167B" w14:textId="77777777" w:rsidR="00E3316C" w:rsidRPr="00102618" w:rsidRDefault="00E3316C">
      <w:pPr>
        <w:spacing w:before="60" w:after="60"/>
        <w:rPr>
          <w:rFonts w:ascii="Garamond" w:hAnsi="Garamond"/>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00"/>
      </w:tblGrid>
      <w:tr w:rsidR="00E3316C" w:rsidRPr="00102618" w14:paraId="4B8AEE35" w14:textId="77777777">
        <w:tc>
          <w:tcPr>
            <w:tcW w:w="9360" w:type="dxa"/>
            <w:tcBorders>
              <w:top w:val="dashSmallGap" w:sz="4" w:space="0" w:color="375623"/>
              <w:left w:val="dashSmallGap" w:sz="4" w:space="0" w:color="375623"/>
              <w:bottom w:val="dashSmallGap" w:sz="4" w:space="0" w:color="375623"/>
              <w:right w:val="dashSmallGap" w:sz="4" w:space="0" w:color="375623"/>
            </w:tcBorders>
            <w:shd w:val="clear" w:color="auto" w:fill="E2EFDA"/>
            <w:tcMar>
              <w:top w:w="120" w:type="dxa"/>
              <w:left w:w="160" w:type="dxa"/>
              <w:bottom w:w="120" w:type="dxa"/>
              <w:right w:w="160" w:type="dxa"/>
            </w:tcMar>
          </w:tcPr>
          <w:p w14:paraId="20CBAF9E" w14:textId="411D14D8" w:rsidR="00FE3655" w:rsidRPr="00102618" w:rsidRDefault="00FE3655" w:rsidP="00FE3655">
            <w:pPr>
              <w:pStyle w:val="CIASCaption"/>
              <w:rPr>
                <w:rFonts w:ascii="Garamond" w:hAnsi="Garamond"/>
                <w:sz w:val="24"/>
                <w:szCs w:val="24"/>
              </w:rPr>
            </w:pPr>
            <w:r w:rsidRPr="00102618">
              <w:rPr>
                <w:rFonts w:ascii="Garamond" w:hAnsi="Garamond"/>
                <w:noProof/>
                <w:sz w:val="24"/>
                <w:szCs w:val="24"/>
              </w:rPr>
              <w:lastRenderedPageBreak/>
              <w:drawing>
                <wp:inline distT="0" distB="0" distL="0" distR="0" wp14:anchorId="13B57126" wp14:editId="32C267A4">
                  <wp:extent cx="6400800" cy="1838527"/>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as_figure2.png"/>
                          <pic:cNvPicPr/>
                        </pic:nvPicPr>
                        <pic:blipFill>
                          <a:blip r:embed="rId7"/>
                          <a:stretch>
                            <a:fillRect/>
                          </a:stretch>
                        </pic:blipFill>
                        <pic:spPr>
                          <a:xfrm>
                            <a:off x="0" y="0"/>
                            <a:ext cx="6414449" cy="1842447"/>
                          </a:xfrm>
                          <a:prstGeom prst="rect">
                            <a:avLst/>
                          </a:prstGeom>
                        </pic:spPr>
                      </pic:pic>
                    </a:graphicData>
                  </a:graphic>
                </wp:inline>
              </w:drawing>
            </w:r>
          </w:p>
          <w:p w14:paraId="7C11A243" w14:textId="21343250" w:rsidR="00E3316C" w:rsidRPr="00102618" w:rsidRDefault="00FE3655" w:rsidP="00FE3655">
            <w:pPr>
              <w:pStyle w:val="CIASCaption"/>
              <w:rPr>
                <w:rFonts w:ascii="Garamond" w:hAnsi="Garamond"/>
                <w:sz w:val="24"/>
                <w:szCs w:val="24"/>
              </w:rPr>
            </w:pPr>
            <w:r w:rsidRPr="00102618">
              <w:rPr>
                <w:rFonts w:ascii="Garamond" w:hAnsi="Garamond"/>
                <w:sz w:val="24"/>
                <w:szCs w:val="24"/>
              </w:rPr>
              <w:t xml:space="preserve">Figure 2. The toolkit is organized to follow the life of a case from intake to </w:t>
            </w:r>
            <w:proofErr w:type="gramStart"/>
            <w:r w:rsidRPr="00102618">
              <w:rPr>
                <w:rFonts w:ascii="Garamond" w:hAnsi="Garamond"/>
                <w:sz w:val="24"/>
                <w:szCs w:val="24"/>
              </w:rPr>
              <w:t>closure.</w:t>
            </w:r>
            <w:r w:rsidRPr="00102618">
              <w:rPr>
                <w:rFonts w:ascii="Garamond" w:eastAsia="Arial" w:hAnsi="Garamond" w:cs="Arial"/>
                <w:iCs/>
                <w:sz w:val="24"/>
                <w:szCs w:val="24"/>
              </w:rPr>
              <w:t>.</w:t>
            </w:r>
            <w:proofErr w:type="gramEnd"/>
          </w:p>
        </w:tc>
      </w:tr>
    </w:tbl>
    <w:p w14:paraId="7CCCF8E7" w14:textId="695E2294" w:rsidR="00E3316C" w:rsidRPr="00102618" w:rsidRDefault="00000000" w:rsidP="00FE3655">
      <w:pPr>
        <w:rPr>
          <w:rFonts w:ascii="Garamond" w:hAnsi="Garamond"/>
          <w:sz w:val="24"/>
          <w:szCs w:val="24"/>
        </w:rPr>
      </w:pPr>
      <w:r w:rsidRPr="00102618">
        <w:rPr>
          <w:rFonts w:ascii="Garamond" w:hAnsi="Garamond"/>
          <w:b/>
          <w:bCs/>
          <w:color w:val="FFFFFF"/>
          <w:sz w:val="24"/>
          <w:szCs w:val="24"/>
        </w:rPr>
        <w:t>RT II: CASE WORKFLOW TOOLS</w:t>
      </w:r>
    </w:p>
    <w:p w14:paraId="5E75B478" w14:textId="77777777" w:rsidR="00E3316C" w:rsidRPr="00E40C5D" w:rsidRDefault="00000000">
      <w:pPr>
        <w:pStyle w:val="Heading2"/>
        <w:pBdr>
          <w:bottom w:val="single" w:sz="6" w:space="1" w:color="2E75B6"/>
        </w:pBdr>
        <w:rPr>
          <w:rFonts w:ascii="Garamond" w:hAnsi="Garamond"/>
          <w:color w:val="000000" w:themeColor="text1"/>
          <w:sz w:val="24"/>
          <w:szCs w:val="24"/>
        </w:rPr>
      </w:pPr>
      <w:r w:rsidRPr="00E40C5D">
        <w:rPr>
          <w:rFonts w:ascii="Garamond" w:hAnsi="Garamond"/>
          <w:color w:val="000000" w:themeColor="text1"/>
          <w:sz w:val="24"/>
          <w:szCs w:val="24"/>
        </w:rPr>
        <w:t>Section 5. Quick Navigation: Where to Go When You Are Stuck</w:t>
      </w:r>
    </w:p>
    <w:p w14:paraId="649957DA" w14:textId="77777777" w:rsidR="00E3316C" w:rsidRPr="00E40C5D" w:rsidRDefault="00000000">
      <w:pPr>
        <w:spacing w:after="120"/>
        <w:rPr>
          <w:rFonts w:ascii="Garamond" w:hAnsi="Garamond"/>
          <w:color w:val="000000" w:themeColor="text1"/>
          <w:sz w:val="24"/>
          <w:szCs w:val="24"/>
        </w:rPr>
      </w:pPr>
      <w:r w:rsidRPr="00E40C5D">
        <w:rPr>
          <w:rFonts w:ascii="Garamond" w:hAnsi="Garamond"/>
          <w:color w:val="000000" w:themeColor="text1"/>
          <w:sz w:val="24"/>
          <w:szCs w:val="24"/>
        </w:rPr>
        <w:t>This section serves as a rapid-access guide for practitioners who open the toolkit in the middle of a case or when time is limited. Rather than requiring sequential reading of the full document, it directs the practitioner immediately to the relevant tool based on the presenting problem—such as delayed disclosure, chronology difficulty, interpreter concerns, or sparse corroboration. Research on attorney workflow in asylum practice confirms that usability under time pressure is a critical design requirement: tools that require extensive reading before use are frequently abandoned in high-caseload environments (American Bar Association Commission on Immigration &amp; HIAS, 2022).</w:t>
      </w:r>
    </w:p>
    <w:p w14:paraId="69CC347D" w14:textId="77777777" w:rsidR="00E3316C" w:rsidRPr="00E40C5D" w:rsidRDefault="00E3316C">
      <w:pPr>
        <w:spacing w:before="60" w:after="60"/>
        <w:rPr>
          <w:rFonts w:ascii="Garamond" w:hAnsi="Garamond"/>
          <w:color w:val="000000" w:themeColor="text1"/>
          <w:sz w:val="24"/>
          <w:szCs w:val="24"/>
        </w:rPr>
      </w:pPr>
    </w:p>
    <w:p w14:paraId="5A0687A2" w14:textId="77777777" w:rsidR="00E3316C" w:rsidRPr="00E40C5D" w:rsidRDefault="00000000">
      <w:pPr>
        <w:pStyle w:val="Heading3"/>
        <w:rPr>
          <w:rFonts w:ascii="Garamond" w:hAnsi="Garamond"/>
          <w:color w:val="000000" w:themeColor="text1"/>
          <w:sz w:val="24"/>
          <w:szCs w:val="24"/>
        </w:rPr>
      </w:pPr>
      <w:proofErr w:type="gramStart"/>
      <w:r w:rsidRPr="00E40C5D">
        <w:rPr>
          <w:rFonts w:ascii="Garamond" w:hAnsi="Garamond"/>
          <w:color w:val="000000" w:themeColor="text1"/>
          <w:sz w:val="24"/>
          <w:szCs w:val="24"/>
        </w:rPr>
        <w:t>5.1  Problem</w:t>
      </w:r>
      <w:proofErr w:type="gramEnd"/>
      <w:r w:rsidRPr="00E40C5D">
        <w:rPr>
          <w:rFonts w:ascii="Garamond" w:hAnsi="Garamond"/>
          <w:color w:val="000000" w:themeColor="text1"/>
          <w:sz w:val="24"/>
          <w:szCs w:val="24"/>
        </w:rPr>
        <w:t>-to-Section Quick Reference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20"/>
        <w:gridCol w:w="3240"/>
      </w:tblGrid>
      <w:tr w:rsidR="00E3316C" w:rsidRPr="00102618" w14:paraId="1003C0C9" w14:textId="77777777">
        <w:trPr>
          <w:tblHeader/>
        </w:trPr>
        <w:tc>
          <w:tcPr>
            <w:tcW w:w="61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478E4517" w14:textId="77777777" w:rsidR="00E3316C" w:rsidRPr="00102618" w:rsidRDefault="00000000">
            <w:pPr>
              <w:rPr>
                <w:rFonts w:ascii="Garamond" w:hAnsi="Garamond"/>
                <w:sz w:val="24"/>
                <w:szCs w:val="24"/>
              </w:rPr>
            </w:pPr>
            <w:r w:rsidRPr="00102618">
              <w:rPr>
                <w:rFonts w:ascii="Garamond" w:hAnsi="Garamond"/>
                <w:b/>
                <w:bCs/>
                <w:color w:val="FFFFFF"/>
                <w:sz w:val="24"/>
                <w:szCs w:val="24"/>
              </w:rPr>
              <w:t>If You Are Stuck On...</w:t>
            </w:r>
          </w:p>
        </w:tc>
        <w:tc>
          <w:tcPr>
            <w:tcW w:w="324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37FD6B22" w14:textId="77777777" w:rsidR="00E3316C" w:rsidRPr="00102618" w:rsidRDefault="00000000">
            <w:pPr>
              <w:rPr>
                <w:rFonts w:ascii="Garamond" w:hAnsi="Garamond"/>
                <w:sz w:val="24"/>
                <w:szCs w:val="24"/>
              </w:rPr>
            </w:pPr>
            <w:r w:rsidRPr="00102618">
              <w:rPr>
                <w:rFonts w:ascii="Garamond" w:hAnsi="Garamond"/>
                <w:b/>
                <w:bCs/>
                <w:color w:val="FFFFFF"/>
                <w:sz w:val="24"/>
                <w:szCs w:val="24"/>
              </w:rPr>
              <w:t>Go To...</w:t>
            </w:r>
          </w:p>
        </w:tc>
      </w:tr>
      <w:tr w:rsidR="00E3316C" w:rsidRPr="00102618" w14:paraId="06C8FD28" w14:textId="77777777">
        <w:tc>
          <w:tcPr>
            <w:tcW w:w="6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7B0792CB" w14:textId="77777777" w:rsidR="00E3316C" w:rsidRPr="00102618" w:rsidRDefault="00000000">
            <w:pPr>
              <w:rPr>
                <w:rFonts w:ascii="Garamond" w:hAnsi="Garamond"/>
                <w:sz w:val="24"/>
                <w:szCs w:val="24"/>
              </w:rPr>
            </w:pPr>
            <w:r w:rsidRPr="00102618">
              <w:rPr>
                <w:rFonts w:ascii="Garamond" w:hAnsi="Garamond"/>
                <w:sz w:val="24"/>
                <w:szCs w:val="24"/>
              </w:rPr>
              <w:t>Delayed disclosure, silence, or avoidance of a sensitive topic</w:t>
            </w:r>
          </w:p>
        </w:tc>
        <w:tc>
          <w:tcPr>
            <w:tcW w:w="3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6C97634A" w14:textId="77777777" w:rsidR="00E3316C" w:rsidRPr="00102618" w:rsidRDefault="00000000">
            <w:pPr>
              <w:rPr>
                <w:rFonts w:ascii="Garamond" w:hAnsi="Garamond"/>
                <w:sz w:val="24"/>
                <w:szCs w:val="24"/>
              </w:rPr>
            </w:pPr>
            <w:r w:rsidRPr="00102618">
              <w:rPr>
                <w:rFonts w:ascii="Garamond" w:hAnsi="Garamond"/>
                <w:sz w:val="24"/>
                <w:szCs w:val="24"/>
              </w:rPr>
              <w:t>Sections 9–10 and the science briefs in Section 14.</w:t>
            </w:r>
          </w:p>
        </w:tc>
      </w:tr>
      <w:tr w:rsidR="00E3316C" w:rsidRPr="00102618" w14:paraId="34254E19" w14:textId="77777777">
        <w:tc>
          <w:tcPr>
            <w:tcW w:w="61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67A490F7" w14:textId="77777777" w:rsidR="00E3316C" w:rsidRPr="00102618" w:rsidRDefault="00000000">
            <w:pPr>
              <w:rPr>
                <w:rFonts w:ascii="Garamond" w:hAnsi="Garamond"/>
                <w:sz w:val="24"/>
                <w:szCs w:val="24"/>
              </w:rPr>
            </w:pPr>
            <w:r w:rsidRPr="00102618">
              <w:rPr>
                <w:rFonts w:ascii="Garamond" w:hAnsi="Garamond"/>
                <w:sz w:val="24"/>
                <w:szCs w:val="24"/>
              </w:rPr>
              <w:t xml:space="preserve">Timeline gaps, unclear dates, or </w:t>
            </w:r>
            <w:proofErr w:type="spellStart"/>
            <w:r w:rsidRPr="00102618">
              <w:rPr>
                <w:rFonts w:ascii="Garamond" w:hAnsi="Garamond"/>
                <w:sz w:val="24"/>
                <w:szCs w:val="24"/>
              </w:rPr>
              <w:t>overgeneral</w:t>
            </w:r>
            <w:proofErr w:type="spellEnd"/>
            <w:r w:rsidRPr="00102618">
              <w:rPr>
                <w:rFonts w:ascii="Garamond" w:hAnsi="Garamond"/>
                <w:sz w:val="24"/>
                <w:szCs w:val="24"/>
              </w:rPr>
              <w:t xml:space="preserve"> memory</w:t>
            </w:r>
          </w:p>
        </w:tc>
        <w:tc>
          <w:tcPr>
            <w:tcW w:w="32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2F5A3EBB" w14:textId="77777777" w:rsidR="00E3316C" w:rsidRPr="00102618" w:rsidRDefault="00000000">
            <w:pPr>
              <w:rPr>
                <w:rFonts w:ascii="Garamond" w:hAnsi="Garamond"/>
                <w:sz w:val="24"/>
                <w:szCs w:val="24"/>
              </w:rPr>
            </w:pPr>
            <w:r w:rsidRPr="00102618">
              <w:rPr>
                <w:rFonts w:ascii="Garamond" w:hAnsi="Garamond"/>
                <w:sz w:val="24"/>
                <w:szCs w:val="24"/>
              </w:rPr>
              <w:t>Sections 8–9 and the chronology-building prompts in Section 8.</w:t>
            </w:r>
          </w:p>
        </w:tc>
      </w:tr>
      <w:tr w:rsidR="00E3316C" w:rsidRPr="00102618" w14:paraId="2A69E865" w14:textId="77777777">
        <w:tc>
          <w:tcPr>
            <w:tcW w:w="6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1631D779" w14:textId="77777777" w:rsidR="00E3316C" w:rsidRPr="00102618" w:rsidRDefault="00000000">
            <w:pPr>
              <w:rPr>
                <w:rFonts w:ascii="Garamond" w:hAnsi="Garamond"/>
                <w:sz w:val="24"/>
                <w:szCs w:val="24"/>
              </w:rPr>
            </w:pPr>
            <w:r w:rsidRPr="00102618">
              <w:rPr>
                <w:rFonts w:ascii="Garamond" w:hAnsi="Garamond"/>
                <w:sz w:val="24"/>
                <w:szCs w:val="24"/>
              </w:rPr>
              <w:t>No police report, no state protection, or unclear reporting history</w:t>
            </w:r>
          </w:p>
        </w:tc>
        <w:tc>
          <w:tcPr>
            <w:tcW w:w="3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1123EDE3" w14:textId="77777777" w:rsidR="00E3316C" w:rsidRPr="00102618" w:rsidRDefault="00000000">
            <w:pPr>
              <w:rPr>
                <w:rFonts w:ascii="Garamond" w:hAnsi="Garamond"/>
                <w:sz w:val="24"/>
                <w:szCs w:val="24"/>
              </w:rPr>
            </w:pPr>
            <w:r w:rsidRPr="00102618">
              <w:rPr>
                <w:rFonts w:ascii="Garamond" w:hAnsi="Garamond"/>
                <w:sz w:val="24"/>
                <w:szCs w:val="24"/>
              </w:rPr>
              <w:t>Sections 6, 8, and 11.</w:t>
            </w:r>
          </w:p>
        </w:tc>
      </w:tr>
      <w:tr w:rsidR="00E3316C" w:rsidRPr="00102618" w14:paraId="606BA7C5" w14:textId="77777777">
        <w:tc>
          <w:tcPr>
            <w:tcW w:w="61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3C0536BF" w14:textId="77777777" w:rsidR="00E3316C" w:rsidRPr="00102618" w:rsidRDefault="00000000">
            <w:pPr>
              <w:rPr>
                <w:rFonts w:ascii="Garamond" w:hAnsi="Garamond"/>
                <w:sz w:val="24"/>
                <w:szCs w:val="24"/>
              </w:rPr>
            </w:pPr>
            <w:r w:rsidRPr="00102618">
              <w:rPr>
                <w:rFonts w:ascii="Garamond" w:hAnsi="Garamond"/>
                <w:sz w:val="24"/>
                <w:szCs w:val="24"/>
              </w:rPr>
              <w:t>Internal relocation, feasibility of leaving, or dependence on others</w:t>
            </w:r>
          </w:p>
        </w:tc>
        <w:tc>
          <w:tcPr>
            <w:tcW w:w="32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2F11FEE0" w14:textId="77777777" w:rsidR="00E3316C" w:rsidRPr="00102618" w:rsidRDefault="00000000">
            <w:pPr>
              <w:rPr>
                <w:rFonts w:ascii="Garamond" w:hAnsi="Garamond"/>
                <w:sz w:val="24"/>
                <w:szCs w:val="24"/>
              </w:rPr>
            </w:pPr>
            <w:r w:rsidRPr="00102618">
              <w:rPr>
                <w:rFonts w:ascii="Garamond" w:hAnsi="Garamond"/>
                <w:sz w:val="24"/>
                <w:szCs w:val="24"/>
              </w:rPr>
              <w:t>Sections 6, 7, and 11.</w:t>
            </w:r>
          </w:p>
        </w:tc>
      </w:tr>
      <w:tr w:rsidR="00E3316C" w:rsidRPr="00102618" w14:paraId="5F803020" w14:textId="77777777">
        <w:tc>
          <w:tcPr>
            <w:tcW w:w="6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1D102CF3" w14:textId="77777777" w:rsidR="00E3316C" w:rsidRPr="00102618" w:rsidRDefault="00000000">
            <w:pPr>
              <w:rPr>
                <w:rFonts w:ascii="Garamond" w:hAnsi="Garamond"/>
                <w:sz w:val="24"/>
                <w:szCs w:val="24"/>
              </w:rPr>
            </w:pPr>
            <w:r w:rsidRPr="00102618">
              <w:rPr>
                <w:rFonts w:ascii="Garamond" w:hAnsi="Garamond"/>
                <w:sz w:val="24"/>
                <w:szCs w:val="24"/>
              </w:rPr>
              <w:t>Interpreter issues, dialect mismatch, or communication breakdown</w:t>
            </w:r>
          </w:p>
        </w:tc>
        <w:tc>
          <w:tcPr>
            <w:tcW w:w="3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10992DD6" w14:textId="77777777" w:rsidR="00E3316C" w:rsidRPr="00102618" w:rsidRDefault="00000000">
            <w:pPr>
              <w:rPr>
                <w:rFonts w:ascii="Garamond" w:hAnsi="Garamond"/>
                <w:sz w:val="24"/>
                <w:szCs w:val="24"/>
              </w:rPr>
            </w:pPr>
            <w:r w:rsidRPr="00102618">
              <w:rPr>
                <w:rFonts w:ascii="Garamond" w:hAnsi="Garamond"/>
                <w:sz w:val="24"/>
                <w:szCs w:val="24"/>
              </w:rPr>
              <w:t>Sections 10 and 13.</w:t>
            </w:r>
          </w:p>
        </w:tc>
      </w:tr>
      <w:tr w:rsidR="00E3316C" w:rsidRPr="00102618" w14:paraId="67B07327" w14:textId="77777777">
        <w:tc>
          <w:tcPr>
            <w:tcW w:w="61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53C31D1B" w14:textId="77777777" w:rsidR="00E3316C" w:rsidRPr="00102618" w:rsidRDefault="00000000">
            <w:pPr>
              <w:rPr>
                <w:rFonts w:ascii="Garamond" w:hAnsi="Garamond"/>
                <w:sz w:val="24"/>
                <w:szCs w:val="24"/>
              </w:rPr>
            </w:pPr>
            <w:r w:rsidRPr="00102618">
              <w:rPr>
                <w:rFonts w:ascii="Garamond" w:hAnsi="Garamond"/>
                <w:sz w:val="24"/>
                <w:szCs w:val="24"/>
              </w:rPr>
              <w:t>A late-emerging inconsistency during affidavit review</w:t>
            </w:r>
          </w:p>
        </w:tc>
        <w:tc>
          <w:tcPr>
            <w:tcW w:w="32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7F407AB5" w14:textId="77777777" w:rsidR="00E3316C" w:rsidRPr="00102618" w:rsidRDefault="00000000">
            <w:pPr>
              <w:rPr>
                <w:rFonts w:ascii="Garamond" w:hAnsi="Garamond"/>
                <w:sz w:val="24"/>
                <w:szCs w:val="24"/>
              </w:rPr>
            </w:pPr>
            <w:r w:rsidRPr="00102618">
              <w:rPr>
                <w:rFonts w:ascii="Garamond" w:hAnsi="Garamond"/>
                <w:sz w:val="24"/>
                <w:szCs w:val="24"/>
              </w:rPr>
              <w:t>Section 11: Core vs. peripheral detail review matrix.</w:t>
            </w:r>
          </w:p>
        </w:tc>
      </w:tr>
      <w:tr w:rsidR="00E3316C" w:rsidRPr="00102618" w14:paraId="41A14A85" w14:textId="77777777">
        <w:tc>
          <w:tcPr>
            <w:tcW w:w="6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773E93AE" w14:textId="77777777" w:rsidR="00E3316C" w:rsidRPr="00102618" w:rsidRDefault="00000000">
            <w:pPr>
              <w:rPr>
                <w:rFonts w:ascii="Garamond" w:hAnsi="Garamond"/>
                <w:sz w:val="24"/>
                <w:szCs w:val="24"/>
              </w:rPr>
            </w:pPr>
            <w:r w:rsidRPr="00102618">
              <w:rPr>
                <w:rFonts w:ascii="Garamond" w:hAnsi="Garamond"/>
                <w:sz w:val="24"/>
                <w:szCs w:val="24"/>
              </w:rPr>
              <w:lastRenderedPageBreak/>
              <w:t>A client who becomes emotionally overwhelmed in session</w:t>
            </w:r>
          </w:p>
        </w:tc>
        <w:tc>
          <w:tcPr>
            <w:tcW w:w="3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36B4655C" w14:textId="77777777" w:rsidR="00E3316C" w:rsidRPr="00102618" w:rsidRDefault="00000000">
            <w:pPr>
              <w:rPr>
                <w:rFonts w:ascii="Garamond" w:hAnsi="Garamond"/>
                <w:sz w:val="24"/>
                <w:szCs w:val="24"/>
              </w:rPr>
            </w:pPr>
            <w:r w:rsidRPr="00102618">
              <w:rPr>
                <w:rFonts w:ascii="Garamond" w:hAnsi="Garamond"/>
                <w:sz w:val="24"/>
                <w:szCs w:val="24"/>
              </w:rPr>
              <w:t>Section 8 containment box and Section 10 bridge scripts.</w:t>
            </w:r>
          </w:p>
        </w:tc>
      </w:tr>
      <w:tr w:rsidR="00E3316C" w:rsidRPr="00102618" w14:paraId="12A07E8D" w14:textId="77777777">
        <w:tc>
          <w:tcPr>
            <w:tcW w:w="61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63B4B0D2" w14:textId="77777777" w:rsidR="00E3316C" w:rsidRPr="00102618" w:rsidRDefault="00000000">
            <w:pPr>
              <w:rPr>
                <w:rFonts w:ascii="Garamond" w:hAnsi="Garamond"/>
                <w:sz w:val="24"/>
                <w:szCs w:val="24"/>
              </w:rPr>
            </w:pPr>
            <w:r w:rsidRPr="00102618">
              <w:rPr>
                <w:rFonts w:ascii="Garamond" w:hAnsi="Garamond"/>
                <w:sz w:val="24"/>
                <w:szCs w:val="24"/>
              </w:rPr>
              <w:t>A client harmed as a minor or with early trauma/separation history</w:t>
            </w:r>
          </w:p>
        </w:tc>
        <w:tc>
          <w:tcPr>
            <w:tcW w:w="32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25F066B2" w14:textId="77777777" w:rsidR="00E3316C" w:rsidRPr="00102618" w:rsidRDefault="00000000">
            <w:pPr>
              <w:rPr>
                <w:rFonts w:ascii="Garamond" w:hAnsi="Garamond"/>
                <w:sz w:val="24"/>
                <w:szCs w:val="24"/>
              </w:rPr>
            </w:pPr>
            <w:r w:rsidRPr="00102618">
              <w:rPr>
                <w:rFonts w:ascii="Garamond" w:hAnsi="Garamond"/>
                <w:sz w:val="24"/>
                <w:szCs w:val="24"/>
              </w:rPr>
              <w:t>Section 9: Developmental and youth considerations.</w:t>
            </w:r>
          </w:p>
        </w:tc>
      </w:tr>
    </w:tbl>
    <w:p w14:paraId="3223B06E" w14:textId="77777777" w:rsidR="00E3316C" w:rsidRPr="00102618" w:rsidRDefault="00E3316C">
      <w:pPr>
        <w:spacing w:before="60" w:after="60"/>
        <w:rPr>
          <w:rFonts w:ascii="Garamond" w:hAnsi="Garamond"/>
          <w:sz w:val="24"/>
          <w:szCs w:val="24"/>
        </w:rPr>
      </w:pPr>
    </w:p>
    <w:p w14:paraId="1E343132" w14:textId="77777777" w:rsidR="00E3316C" w:rsidRPr="00E40C5D" w:rsidRDefault="00000000">
      <w:pPr>
        <w:pStyle w:val="Heading3"/>
        <w:rPr>
          <w:rFonts w:ascii="Garamond" w:hAnsi="Garamond"/>
          <w:color w:val="000000" w:themeColor="text1"/>
          <w:sz w:val="24"/>
          <w:szCs w:val="24"/>
        </w:rPr>
      </w:pPr>
      <w:proofErr w:type="gramStart"/>
      <w:r w:rsidRPr="00E40C5D">
        <w:rPr>
          <w:rFonts w:ascii="Garamond" w:hAnsi="Garamond"/>
          <w:color w:val="000000" w:themeColor="text1"/>
          <w:sz w:val="24"/>
          <w:szCs w:val="24"/>
        </w:rPr>
        <w:t>5.2  Visual</w:t>
      </w:r>
      <w:proofErr w:type="gramEnd"/>
      <w:r w:rsidRPr="00E40C5D">
        <w:rPr>
          <w:rFonts w:ascii="Garamond" w:hAnsi="Garamond"/>
          <w:color w:val="000000" w:themeColor="text1"/>
          <w:sz w:val="24"/>
          <w:szCs w:val="24"/>
        </w:rPr>
        <w:t xml:space="preserve"> Workflow Map</w:t>
      </w:r>
    </w:p>
    <w:p w14:paraId="53501EB5" w14:textId="77777777" w:rsidR="00E3316C" w:rsidRPr="00102618" w:rsidRDefault="00000000">
      <w:pPr>
        <w:spacing w:after="120"/>
        <w:rPr>
          <w:rFonts w:ascii="Garamond" w:hAnsi="Garamond"/>
          <w:sz w:val="24"/>
          <w:szCs w:val="24"/>
        </w:rPr>
      </w:pPr>
      <w:r w:rsidRPr="00102618">
        <w:rPr>
          <w:rFonts w:ascii="Garamond" w:hAnsi="Garamond"/>
          <w:sz w:val="24"/>
          <w:szCs w:val="24"/>
        </w:rPr>
        <w:t>Use the map below to orient quickly to where the case is and what the next product should be.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1560"/>
        <w:gridCol w:w="1560"/>
        <w:gridCol w:w="1560"/>
        <w:gridCol w:w="1560"/>
        <w:gridCol w:w="1560"/>
      </w:tblGrid>
      <w:tr w:rsidR="00E3316C" w:rsidRPr="00102618" w14:paraId="7349C805" w14:textId="77777777">
        <w:trPr>
          <w:tblHeader/>
        </w:trPr>
        <w:tc>
          <w:tcPr>
            <w:tcW w:w="156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43B6F3E6" w14:textId="77777777" w:rsidR="00E3316C" w:rsidRPr="00102618" w:rsidRDefault="00000000">
            <w:pPr>
              <w:rPr>
                <w:rFonts w:ascii="Garamond" w:hAnsi="Garamond"/>
                <w:sz w:val="24"/>
                <w:szCs w:val="24"/>
              </w:rPr>
            </w:pPr>
            <w:r w:rsidRPr="00102618">
              <w:rPr>
                <w:rFonts w:ascii="Garamond" w:hAnsi="Garamond"/>
                <w:b/>
                <w:bCs/>
                <w:color w:val="FFFFFF"/>
                <w:sz w:val="24"/>
                <w:szCs w:val="24"/>
              </w:rPr>
              <w:t>1. Intake / Triage</w:t>
            </w:r>
          </w:p>
        </w:tc>
        <w:tc>
          <w:tcPr>
            <w:tcW w:w="156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5CB798D8" w14:textId="77777777" w:rsidR="00E3316C" w:rsidRPr="00102618" w:rsidRDefault="00000000">
            <w:pPr>
              <w:rPr>
                <w:rFonts w:ascii="Garamond" w:hAnsi="Garamond"/>
                <w:sz w:val="24"/>
                <w:szCs w:val="24"/>
              </w:rPr>
            </w:pPr>
            <w:r w:rsidRPr="00102618">
              <w:rPr>
                <w:rFonts w:ascii="Garamond" w:hAnsi="Garamond"/>
                <w:b/>
                <w:bCs/>
                <w:color w:val="FFFFFF"/>
                <w:sz w:val="24"/>
                <w:szCs w:val="24"/>
              </w:rPr>
              <w:t>2. Context + Background</w:t>
            </w:r>
          </w:p>
        </w:tc>
        <w:tc>
          <w:tcPr>
            <w:tcW w:w="156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0A6F6B97" w14:textId="77777777" w:rsidR="00E3316C" w:rsidRPr="00102618" w:rsidRDefault="00000000">
            <w:pPr>
              <w:rPr>
                <w:rFonts w:ascii="Garamond" w:hAnsi="Garamond"/>
                <w:sz w:val="24"/>
                <w:szCs w:val="24"/>
              </w:rPr>
            </w:pPr>
            <w:r w:rsidRPr="00102618">
              <w:rPr>
                <w:rFonts w:ascii="Garamond" w:hAnsi="Garamond"/>
                <w:b/>
                <w:bCs/>
                <w:color w:val="FFFFFF"/>
                <w:sz w:val="24"/>
                <w:szCs w:val="24"/>
              </w:rPr>
              <w:t>3. Events + Aftermath</w:t>
            </w:r>
          </w:p>
        </w:tc>
        <w:tc>
          <w:tcPr>
            <w:tcW w:w="156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6F7F4084" w14:textId="77777777" w:rsidR="00E3316C" w:rsidRPr="00102618" w:rsidRDefault="00000000">
            <w:pPr>
              <w:rPr>
                <w:rFonts w:ascii="Garamond" w:hAnsi="Garamond"/>
                <w:sz w:val="24"/>
                <w:szCs w:val="24"/>
              </w:rPr>
            </w:pPr>
            <w:r w:rsidRPr="00102618">
              <w:rPr>
                <w:rFonts w:ascii="Garamond" w:hAnsi="Garamond"/>
                <w:b/>
                <w:bCs/>
                <w:color w:val="FFFFFF"/>
                <w:sz w:val="24"/>
                <w:szCs w:val="24"/>
              </w:rPr>
              <w:t>4. Barriers + Flight</w:t>
            </w:r>
          </w:p>
        </w:tc>
        <w:tc>
          <w:tcPr>
            <w:tcW w:w="156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7FDAFEC9" w14:textId="77777777" w:rsidR="00E3316C" w:rsidRPr="00102618" w:rsidRDefault="00000000">
            <w:pPr>
              <w:rPr>
                <w:rFonts w:ascii="Garamond" w:hAnsi="Garamond"/>
                <w:sz w:val="24"/>
                <w:szCs w:val="24"/>
              </w:rPr>
            </w:pPr>
            <w:r w:rsidRPr="00102618">
              <w:rPr>
                <w:rFonts w:ascii="Garamond" w:hAnsi="Garamond"/>
                <w:b/>
                <w:bCs/>
                <w:color w:val="FFFFFF"/>
                <w:sz w:val="24"/>
                <w:szCs w:val="24"/>
              </w:rPr>
              <w:t>5. Review + Evidence</w:t>
            </w:r>
          </w:p>
        </w:tc>
        <w:tc>
          <w:tcPr>
            <w:tcW w:w="156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0F6D685F" w14:textId="77777777" w:rsidR="00E3316C" w:rsidRPr="00102618" w:rsidRDefault="00000000">
            <w:pPr>
              <w:rPr>
                <w:rFonts w:ascii="Garamond" w:hAnsi="Garamond"/>
                <w:sz w:val="24"/>
                <w:szCs w:val="24"/>
              </w:rPr>
            </w:pPr>
            <w:r w:rsidRPr="00102618">
              <w:rPr>
                <w:rFonts w:ascii="Garamond" w:hAnsi="Garamond"/>
                <w:b/>
                <w:bCs/>
                <w:color w:val="FFFFFF"/>
                <w:sz w:val="24"/>
                <w:szCs w:val="24"/>
              </w:rPr>
              <w:t>6. Filing / Interview / Closure</w:t>
            </w:r>
          </w:p>
        </w:tc>
      </w:tr>
      <w:tr w:rsidR="00E3316C" w:rsidRPr="00102618" w14:paraId="57FEBD12" w14:textId="77777777">
        <w:tc>
          <w:tcPr>
            <w:tcW w:w="15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708B5AE7" w14:textId="77777777" w:rsidR="00E3316C" w:rsidRPr="00102618" w:rsidRDefault="00000000">
            <w:pPr>
              <w:rPr>
                <w:rFonts w:ascii="Garamond" w:hAnsi="Garamond"/>
                <w:sz w:val="24"/>
                <w:szCs w:val="24"/>
              </w:rPr>
            </w:pPr>
            <w:r w:rsidRPr="00102618">
              <w:rPr>
                <w:rFonts w:ascii="Garamond" w:hAnsi="Garamond"/>
                <w:sz w:val="24"/>
                <w:szCs w:val="24"/>
              </w:rPr>
              <w:t>Viability, deadlines, not-ready-yet flags</w:t>
            </w:r>
          </w:p>
        </w:tc>
        <w:tc>
          <w:tcPr>
            <w:tcW w:w="15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D2B501F" w14:textId="77777777" w:rsidR="00E3316C" w:rsidRPr="00102618" w:rsidRDefault="00000000">
            <w:pPr>
              <w:rPr>
                <w:rFonts w:ascii="Garamond" w:hAnsi="Garamond"/>
                <w:sz w:val="24"/>
                <w:szCs w:val="24"/>
              </w:rPr>
            </w:pPr>
            <w:r w:rsidRPr="00102618">
              <w:rPr>
                <w:rFonts w:ascii="Garamond" w:hAnsi="Garamond"/>
                <w:sz w:val="24"/>
                <w:szCs w:val="24"/>
              </w:rPr>
              <w:t>Community, identity, development, baseline context</w:t>
            </w:r>
          </w:p>
        </w:tc>
        <w:tc>
          <w:tcPr>
            <w:tcW w:w="15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71AD8701" w14:textId="77777777" w:rsidR="00E3316C" w:rsidRPr="00102618" w:rsidRDefault="00000000">
            <w:pPr>
              <w:rPr>
                <w:rFonts w:ascii="Garamond" w:hAnsi="Garamond"/>
                <w:sz w:val="24"/>
                <w:szCs w:val="24"/>
              </w:rPr>
            </w:pPr>
            <w:r w:rsidRPr="00102618">
              <w:rPr>
                <w:rFonts w:ascii="Garamond" w:hAnsi="Garamond"/>
                <w:sz w:val="24"/>
                <w:szCs w:val="24"/>
              </w:rPr>
              <w:t>Harm, actors, persecutor words, consequences</w:t>
            </w:r>
          </w:p>
        </w:tc>
        <w:tc>
          <w:tcPr>
            <w:tcW w:w="15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9213816" w14:textId="77777777" w:rsidR="00E3316C" w:rsidRPr="00102618" w:rsidRDefault="00000000">
            <w:pPr>
              <w:rPr>
                <w:rFonts w:ascii="Garamond" w:hAnsi="Garamond"/>
                <w:sz w:val="24"/>
                <w:szCs w:val="24"/>
              </w:rPr>
            </w:pPr>
            <w:r w:rsidRPr="00102618">
              <w:rPr>
                <w:rFonts w:ascii="Garamond" w:hAnsi="Garamond"/>
                <w:sz w:val="24"/>
                <w:szCs w:val="24"/>
              </w:rPr>
              <w:t>Delay, reporting, relocation, return fear</w:t>
            </w:r>
          </w:p>
        </w:tc>
        <w:tc>
          <w:tcPr>
            <w:tcW w:w="15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7A716E18" w14:textId="77777777" w:rsidR="00E3316C" w:rsidRPr="00102618" w:rsidRDefault="00000000">
            <w:pPr>
              <w:rPr>
                <w:rFonts w:ascii="Garamond" w:hAnsi="Garamond"/>
                <w:sz w:val="24"/>
                <w:szCs w:val="24"/>
              </w:rPr>
            </w:pPr>
            <w:r w:rsidRPr="00102618">
              <w:rPr>
                <w:rFonts w:ascii="Garamond" w:hAnsi="Garamond"/>
                <w:sz w:val="24"/>
                <w:szCs w:val="24"/>
              </w:rPr>
              <w:t>Declaration holes, corroboration, interpreter notes</w:t>
            </w:r>
          </w:p>
        </w:tc>
        <w:tc>
          <w:tcPr>
            <w:tcW w:w="15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6C998135" w14:textId="77777777" w:rsidR="00E3316C" w:rsidRPr="00102618" w:rsidRDefault="00000000">
            <w:pPr>
              <w:rPr>
                <w:rFonts w:ascii="Garamond" w:hAnsi="Garamond"/>
                <w:sz w:val="24"/>
                <w:szCs w:val="24"/>
              </w:rPr>
            </w:pPr>
            <w:r w:rsidRPr="00102618">
              <w:rPr>
                <w:rFonts w:ascii="Garamond" w:hAnsi="Garamond"/>
                <w:sz w:val="24"/>
                <w:szCs w:val="24"/>
              </w:rPr>
              <w:t>Copies, next steps, interview prep, closure</w:t>
            </w:r>
          </w:p>
        </w:tc>
      </w:tr>
    </w:tbl>
    <w:p w14:paraId="62A84E41" w14:textId="77777777" w:rsidR="00E3316C" w:rsidRPr="00102618" w:rsidRDefault="00E3316C">
      <w:pPr>
        <w:spacing w:before="60" w:after="60"/>
        <w:rPr>
          <w:rFonts w:ascii="Garamond" w:hAnsi="Garamond"/>
          <w:sz w:val="24"/>
          <w:szCs w:val="24"/>
        </w:rPr>
      </w:pPr>
    </w:p>
    <w:p w14:paraId="6DCEF0F9" w14:textId="77777777" w:rsidR="00E3316C" w:rsidRPr="00E40C5D" w:rsidRDefault="00000000">
      <w:pPr>
        <w:pStyle w:val="Heading3"/>
        <w:rPr>
          <w:rFonts w:ascii="Garamond" w:hAnsi="Garamond"/>
          <w:color w:val="000000" w:themeColor="text1"/>
          <w:sz w:val="24"/>
          <w:szCs w:val="24"/>
        </w:rPr>
      </w:pPr>
      <w:proofErr w:type="gramStart"/>
      <w:r w:rsidRPr="00E40C5D">
        <w:rPr>
          <w:rFonts w:ascii="Garamond" w:hAnsi="Garamond"/>
          <w:color w:val="000000" w:themeColor="text1"/>
          <w:sz w:val="24"/>
          <w:szCs w:val="24"/>
        </w:rPr>
        <w:t>5.3  Where</w:t>
      </w:r>
      <w:proofErr w:type="gramEnd"/>
      <w:r w:rsidRPr="00E40C5D">
        <w:rPr>
          <w:rFonts w:ascii="Garamond" w:hAnsi="Garamond"/>
          <w:color w:val="000000" w:themeColor="text1"/>
          <w:sz w:val="24"/>
          <w:szCs w:val="24"/>
        </w:rPr>
        <w:t xml:space="preserve"> CIAS Fits Within Core Asylum Components</w:t>
      </w:r>
    </w:p>
    <w:p w14:paraId="36FF66BC" w14:textId="77777777" w:rsidR="00E3316C" w:rsidRPr="00102618" w:rsidRDefault="00000000">
      <w:pPr>
        <w:spacing w:after="120"/>
        <w:rPr>
          <w:rFonts w:ascii="Garamond" w:hAnsi="Garamond"/>
          <w:sz w:val="24"/>
          <w:szCs w:val="24"/>
        </w:rPr>
      </w:pPr>
      <w:r w:rsidRPr="00102618">
        <w:rPr>
          <w:rFonts w:ascii="Garamond" w:hAnsi="Garamond"/>
          <w:sz w:val="24"/>
          <w:szCs w:val="24"/>
        </w:rPr>
        <w:t>One way to make the CIAS toolkit maximally usable is to locate it inside the actual work products attorneys build. The table below shows where CIAS fits within the main parts of an asylum filing and interview-prep process (American Bar Association Commission on Immigration &amp; HIAS, 2022).</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40"/>
        <w:gridCol w:w="2440"/>
        <w:gridCol w:w="2440"/>
        <w:gridCol w:w="2600"/>
      </w:tblGrid>
      <w:tr w:rsidR="00E3316C" w:rsidRPr="00102618" w14:paraId="72AA9733" w14:textId="77777777">
        <w:trPr>
          <w:tblHeader/>
        </w:trPr>
        <w:tc>
          <w:tcPr>
            <w:tcW w:w="224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7F1511E2" w14:textId="77777777" w:rsidR="00E3316C" w:rsidRPr="00102618" w:rsidRDefault="00000000">
            <w:pPr>
              <w:rPr>
                <w:rFonts w:ascii="Garamond" w:hAnsi="Garamond"/>
                <w:sz w:val="24"/>
                <w:szCs w:val="24"/>
              </w:rPr>
            </w:pPr>
            <w:r w:rsidRPr="00102618">
              <w:rPr>
                <w:rFonts w:ascii="Garamond" w:hAnsi="Garamond"/>
                <w:b/>
                <w:bCs/>
                <w:color w:val="FFFFFF"/>
                <w:sz w:val="24"/>
                <w:szCs w:val="24"/>
              </w:rPr>
              <w:t>Case Component</w:t>
            </w:r>
          </w:p>
        </w:tc>
        <w:tc>
          <w:tcPr>
            <w:tcW w:w="244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665C1844" w14:textId="77777777" w:rsidR="00E3316C" w:rsidRPr="00102618" w:rsidRDefault="00000000">
            <w:pPr>
              <w:rPr>
                <w:rFonts w:ascii="Garamond" w:hAnsi="Garamond"/>
                <w:sz w:val="24"/>
                <w:szCs w:val="24"/>
              </w:rPr>
            </w:pPr>
            <w:r w:rsidRPr="00102618">
              <w:rPr>
                <w:rFonts w:ascii="Garamond" w:hAnsi="Garamond"/>
                <w:b/>
                <w:bCs/>
                <w:color w:val="FFFFFF"/>
                <w:sz w:val="24"/>
                <w:szCs w:val="24"/>
              </w:rPr>
              <w:t>What It Does</w:t>
            </w:r>
          </w:p>
        </w:tc>
        <w:tc>
          <w:tcPr>
            <w:tcW w:w="244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761BCAA2" w14:textId="77777777" w:rsidR="00E3316C" w:rsidRPr="00102618" w:rsidRDefault="00000000">
            <w:pPr>
              <w:rPr>
                <w:rFonts w:ascii="Garamond" w:hAnsi="Garamond"/>
                <w:sz w:val="24"/>
                <w:szCs w:val="24"/>
              </w:rPr>
            </w:pPr>
            <w:r w:rsidRPr="00102618">
              <w:rPr>
                <w:rFonts w:ascii="Garamond" w:hAnsi="Garamond"/>
                <w:b/>
                <w:bCs/>
                <w:color w:val="FFFFFF"/>
                <w:sz w:val="24"/>
                <w:szCs w:val="24"/>
              </w:rPr>
              <w:t>Where CIAS Helps</w:t>
            </w:r>
          </w:p>
        </w:tc>
        <w:tc>
          <w:tcPr>
            <w:tcW w:w="26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23399234" w14:textId="77777777" w:rsidR="00E3316C" w:rsidRPr="00102618" w:rsidRDefault="00000000">
            <w:pPr>
              <w:rPr>
                <w:rFonts w:ascii="Garamond" w:hAnsi="Garamond"/>
                <w:sz w:val="24"/>
                <w:szCs w:val="24"/>
              </w:rPr>
            </w:pPr>
            <w:r w:rsidRPr="00102618">
              <w:rPr>
                <w:rFonts w:ascii="Garamond" w:hAnsi="Garamond"/>
                <w:b/>
                <w:bCs/>
                <w:color w:val="FFFFFF"/>
                <w:sz w:val="24"/>
                <w:szCs w:val="24"/>
              </w:rPr>
              <w:t>Primary Outputs</w:t>
            </w:r>
          </w:p>
        </w:tc>
      </w:tr>
      <w:tr w:rsidR="00E3316C" w:rsidRPr="00102618" w14:paraId="4E5CFB81" w14:textId="77777777">
        <w:tc>
          <w:tcPr>
            <w:tcW w:w="2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15777637" w14:textId="77777777" w:rsidR="00E3316C" w:rsidRPr="00102618" w:rsidRDefault="00000000">
            <w:pPr>
              <w:rPr>
                <w:rFonts w:ascii="Garamond" w:hAnsi="Garamond"/>
                <w:sz w:val="24"/>
                <w:szCs w:val="24"/>
              </w:rPr>
            </w:pPr>
            <w:r w:rsidRPr="00102618">
              <w:rPr>
                <w:rFonts w:ascii="Garamond" w:hAnsi="Garamond"/>
                <w:sz w:val="24"/>
                <w:szCs w:val="24"/>
              </w:rPr>
              <w:t>Case theory / cover letter</w:t>
            </w:r>
          </w:p>
        </w:tc>
        <w:tc>
          <w:tcPr>
            <w:tcW w:w="24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2FEEB08" w14:textId="77777777" w:rsidR="00E3316C" w:rsidRPr="00102618" w:rsidRDefault="00000000">
            <w:pPr>
              <w:rPr>
                <w:rFonts w:ascii="Garamond" w:hAnsi="Garamond"/>
                <w:sz w:val="24"/>
                <w:szCs w:val="24"/>
              </w:rPr>
            </w:pPr>
            <w:r w:rsidRPr="00102618">
              <w:rPr>
                <w:rFonts w:ascii="Garamond" w:hAnsi="Garamond"/>
                <w:sz w:val="24"/>
                <w:szCs w:val="24"/>
              </w:rPr>
              <w:t>States the broad claim, legal framing, and filing package contents.</w:t>
            </w:r>
          </w:p>
        </w:tc>
        <w:tc>
          <w:tcPr>
            <w:tcW w:w="24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88B5D96" w14:textId="77777777" w:rsidR="00E3316C" w:rsidRPr="00102618" w:rsidRDefault="00000000">
            <w:pPr>
              <w:rPr>
                <w:rFonts w:ascii="Garamond" w:hAnsi="Garamond"/>
                <w:sz w:val="24"/>
                <w:szCs w:val="24"/>
              </w:rPr>
            </w:pPr>
            <w:r w:rsidRPr="00102618">
              <w:rPr>
                <w:rFonts w:ascii="Garamond" w:hAnsi="Garamond"/>
                <w:sz w:val="24"/>
                <w:szCs w:val="24"/>
              </w:rPr>
              <w:t>CIAS helps clarify nexus, future fear, structural barriers, and the logic for neutral explanations of delay.</w:t>
            </w:r>
          </w:p>
        </w:tc>
        <w:tc>
          <w:tcPr>
            <w:tcW w:w="26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05920881" w14:textId="77777777" w:rsidR="00E3316C" w:rsidRPr="00102618" w:rsidRDefault="00000000">
            <w:pPr>
              <w:rPr>
                <w:rFonts w:ascii="Garamond" w:hAnsi="Garamond"/>
                <w:sz w:val="24"/>
                <w:szCs w:val="24"/>
              </w:rPr>
            </w:pPr>
            <w:r w:rsidRPr="00102618">
              <w:rPr>
                <w:rFonts w:ascii="Garamond" w:hAnsi="Garamond"/>
                <w:sz w:val="24"/>
                <w:szCs w:val="24"/>
              </w:rPr>
              <w:t>Short case summary; filing narrative logic; issue list.</w:t>
            </w:r>
          </w:p>
        </w:tc>
      </w:tr>
      <w:tr w:rsidR="00E3316C" w:rsidRPr="00102618" w14:paraId="3F8D4A9C" w14:textId="77777777">
        <w:tc>
          <w:tcPr>
            <w:tcW w:w="22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60295802" w14:textId="77777777" w:rsidR="00E3316C" w:rsidRPr="00102618" w:rsidRDefault="00000000">
            <w:pPr>
              <w:rPr>
                <w:rFonts w:ascii="Garamond" w:hAnsi="Garamond"/>
                <w:sz w:val="24"/>
                <w:szCs w:val="24"/>
              </w:rPr>
            </w:pPr>
            <w:r w:rsidRPr="00102618">
              <w:rPr>
                <w:rFonts w:ascii="Garamond" w:hAnsi="Garamond"/>
                <w:sz w:val="24"/>
                <w:szCs w:val="24"/>
              </w:rPr>
              <w:t>Form I-589 / basic application data</w:t>
            </w:r>
          </w:p>
        </w:tc>
        <w:tc>
          <w:tcPr>
            <w:tcW w:w="24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2D221DE5" w14:textId="77777777" w:rsidR="00E3316C" w:rsidRPr="00102618" w:rsidRDefault="00000000">
            <w:pPr>
              <w:rPr>
                <w:rFonts w:ascii="Garamond" w:hAnsi="Garamond"/>
                <w:sz w:val="24"/>
                <w:szCs w:val="24"/>
              </w:rPr>
            </w:pPr>
            <w:r w:rsidRPr="00102618">
              <w:rPr>
                <w:rFonts w:ascii="Garamond" w:hAnsi="Garamond"/>
                <w:sz w:val="24"/>
                <w:szCs w:val="24"/>
              </w:rPr>
              <w:t>Captures required application information and broad claim elements.</w:t>
            </w:r>
          </w:p>
        </w:tc>
        <w:tc>
          <w:tcPr>
            <w:tcW w:w="24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10E19384" w14:textId="77777777" w:rsidR="00E3316C" w:rsidRPr="00102618" w:rsidRDefault="00000000">
            <w:pPr>
              <w:rPr>
                <w:rFonts w:ascii="Garamond" w:hAnsi="Garamond"/>
                <w:sz w:val="24"/>
                <w:szCs w:val="24"/>
              </w:rPr>
            </w:pPr>
            <w:r w:rsidRPr="00102618">
              <w:rPr>
                <w:rFonts w:ascii="Garamond" w:hAnsi="Garamond"/>
                <w:sz w:val="24"/>
                <w:szCs w:val="24"/>
              </w:rPr>
              <w:t>CIAS helps with intake triage, chronology anchoring, identity/context questions, and flags for what is not ready yet.</w:t>
            </w:r>
          </w:p>
        </w:tc>
        <w:tc>
          <w:tcPr>
            <w:tcW w:w="260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38E4E0B5" w14:textId="77777777" w:rsidR="00E3316C" w:rsidRPr="00102618" w:rsidRDefault="00000000">
            <w:pPr>
              <w:rPr>
                <w:rFonts w:ascii="Garamond" w:hAnsi="Garamond"/>
                <w:sz w:val="24"/>
                <w:szCs w:val="24"/>
              </w:rPr>
            </w:pPr>
            <w:r w:rsidRPr="00102618">
              <w:rPr>
                <w:rFonts w:ascii="Garamond" w:hAnsi="Garamond"/>
                <w:sz w:val="24"/>
                <w:szCs w:val="24"/>
              </w:rPr>
              <w:t>Completed intake screen; context anchors; issue flags.</w:t>
            </w:r>
          </w:p>
        </w:tc>
      </w:tr>
      <w:tr w:rsidR="00E3316C" w:rsidRPr="00102618" w14:paraId="6E6F416F" w14:textId="77777777">
        <w:tc>
          <w:tcPr>
            <w:tcW w:w="2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A7407C2" w14:textId="77777777" w:rsidR="00E3316C" w:rsidRPr="00102618" w:rsidRDefault="00000000">
            <w:pPr>
              <w:rPr>
                <w:rFonts w:ascii="Garamond" w:hAnsi="Garamond"/>
                <w:sz w:val="24"/>
                <w:szCs w:val="24"/>
              </w:rPr>
            </w:pPr>
            <w:r w:rsidRPr="00102618">
              <w:rPr>
                <w:rFonts w:ascii="Garamond" w:hAnsi="Garamond"/>
                <w:sz w:val="24"/>
                <w:szCs w:val="24"/>
              </w:rPr>
              <w:t>Declaration / sworn narrative</w:t>
            </w:r>
          </w:p>
        </w:tc>
        <w:tc>
          <w:tcPr>
            <w:tcW w:w="24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405A6316" w14:textId="77777777" w:rsidR="00E3316C" w:rsidRPr="00102618" w:rsidRDefault="00000000">
            <w:pPr>
              <w:rPr>
                <w:rFonts w:ascii="Garamond" w:hAnsi="Garamond"/>
                <w:sz w:val="24"/>
                <w:szCs w:val="24"/>
              </w:rPr>
            </w:pPr>
            <w:r w:rsidRPr="00102618">
              <w:rPr>
                <w:rFonts w:ascii="Garamond" w:hAnsi="Garamond"/>
                <w:sz w:val="24"/>
                <w:szCs w:val="24"/>
              </w:rPr>
              <w:t xml:space="preserve">Provides the client's account of harm, targeting, relocation, </w:t>
            </w:r>
            <w:r w:rsidRPr="00102618">
              <w:rPr>
                <w:rFonts w:ascii="Garamond" w:hAnsi="Garamond"/>
                <w:sz w:val="24"/>
                <w:szCs w:val="24"/>
              </w:rPr>
              <w:lastRenderedPageBreak/>
              <w:t>flight, and fear of return.</w:t>
            </w:r>
          </w:p>
        </w:tc>
        <w:tc>
          <w:tcPr>
            <w:tcW w:w="24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66981303" w14:textId="77777777" w:rsidR="00E3316C" w:rsidRPr="00102618" w:rsidRDefault="00000000">
            <w:pPr>
              <w:rPr>
                <w:rFonts w:ascii="Garamond" w:hAnsi="Garamond"/>
                <w:sz w:val="24"/>
                <w:szCs w:val="24"/>
              </w:rPr>
            </w:pPr>
            <w:r w:rsidRPr="00102618">
              <w:rPr>
                <w:rFonts w:ascii="Garamond" w:hAnsi="Garamond"/>
                <w:sz w:val="24"/>
                <w:szCs w:val="24"/>
              </w:rPr>
              <w:lastRenderedPageBreak/>
              <w:t xml:space="preserve">CIAS helps stage the narrative, clarify what belongs in which section, and preserve </w:t>
            </w:r>
            <w:r w:rsidRPr="00102618">
              <w:rPr>
                <w:rFonts w:ascii="Garamond" w:hAnsi="Garamond"/>
                <w:sz w:val="24"/>
                <w:szCs w:val="24"/>
              </w:rPr>
              <w:lastRenderedPageBreak/>
              <w:t>client voice without overloading the declaration.</w:t>
            </w:r>
          </w:p>
        </w:tc>
        <w:tc>
          <w:tcPr>
            <w:tcW w:w="26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731E59FD" w14:textId="77777777" w:rsidR="00E3316C" w:rsidRPr="00102618" w:rsidRDefault="00000000">
            <w:pPr>
              <w:rPr>
                <w:rFonts w:ascii="Garamond" w:hAnsi="Garamond"/>
                <w:sz w:val="24"/>
                <w:szCs w:val="24"/>
              </w:rPr>
            </w:pPr>
            <w:r w:rsidRPr="00102618">
              <w:rPr>
                <w:rFonts w:ascii="Garamond" w:hAnsi="Garamond"/>
                <w:sz w:val="24"/>
                <w:szCs w:val="24"/>
              </w:rPr>
              <w:lastRenderedPageBreak/>
              <w:t>Declaration structure; timeline notes; barrier clarifications.</w:t>
            </w:r>
          </w:p>
        </w:tc>
      </w:tr>
      <w:tr w:rsidR="00E3316C" w:rsidRPr="00102618" w14:paraId="57171927" w14:textId="77777777">
        <w:tc>
          <w:tcPr>
            <w:tcW w:w="22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3D2E2933" w14:textId="77777777" w:rsidR="00E3316C" w:rsidRPr="00102618" w:rsidRDefault="00000000">
            <w:pPr>
              <w:rPr>
                <w:rFonts w:ascii="Garamond" w:hAnsi="Garamond"/>
                <w:sz w:val="24"/>
                <w:szCs w:val="24"/>
              </w:rPr>
            </w:pPr>
            <w:r w:rsidRPr="00102618">
              <w:rPr>
                <w:rFonts w:ascii="Garamond" w:hAnsi="Garamond"/>
                <w:sz w:val="24"/>
                <w:szCs w:val="24"/>
              </w:rPr>
              <w:t>Corroborating evidence</w:t>
            </w:r>
          </w:p>
        </w:tc>
        <w:tc>
          <w:tcPr>
            <w:tcW w:w="24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2EEF5655" w14:textId="77777777" w:rsidR="00E3316C" w:rsidRPr="00102618" w:rsidRDefault="00000000">
            <w:pPr>
              <w:rPr>
                <w:rFonts w:ascii="Garamond" w:hAnsi="Garamond"/>
                <w:sz w:val="24"/>
                <w:szCs w:val="24"/>
              </w:rPr>
            </w:pPr>
            <w:r w:rsidRPr="00102618">
              <w:rPr>
                <w:rFonts w:ascii="Garamond" w:hAnsi="Garamond"/>
                <w:sz w:val="24"/>
                <w:szCs w:val="24"/>
              </w:rPr>
              <w:t>Supports the claim with identity documents, witness statements, country conditions, medical or psychosocial evidence, and other exhibits.</w:t>
            </w:r>
          </w:p>
        </w:tc>
        <w:tc>
          <w:tcPr>
            <w:tcW w:w="24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2ECFB553" w14:textId="77777777" w:rsidR="00E3316C" w:rsidRPr="00102618" w:rsidRDefault="00000000">
            <w:pPr>
              <w:rPr>
                <w:rFonts w:ascii="Garamond" w:hAnsi="Garamond"/>
                <w:sz w:val="24"/>
                <w:szCs w:val="24"/>
              </w:rPr>
            </w:pPr>
            <w:r w:rsidRPr="00102618">
              <w:rPr>
                <w:rFonts w:ascii="Garamond" w:hAnsi="Garamond"/>
                <w:sz w:val="24"/>
                <w:szCs w:val="24"/>
              </w:rPr>
              <w:t>CIAS helps decide what evidence strengthens nexus, state protection analysis, relocation, current vulnerability, and disclosure barriers.</w:t>
            </w:r>
          </w:p>
        </w:tc>
        <w:tc>
          <w:tcPr>
            <w:tcW w:w="260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716BFEB3" w14:textId="77777777" w:rsidR="00E3316C" w:rsidRPr="00102618" w:rsidRDefault="00000000">
            <w:pPr>
              <w:rPr>
                <w:rFonts w:ascii="Garamond" w:hAnsi="Garamond"/>
                <w:sz w:val="24"/>
                <w:szCs w:val="24"/>
              </w:rPr>
            </w:pPr>
            <w:r w:rsidRPr="00102618">
              <w:rPr>
                <w:rFonts w:ascii="Garamond" w:hAnsi="Garamond"/>
                <w:sz w:val="24"/>
                <w:szCs w:val="24"/>
              </w:rPr>
              <w:t>Evidence plan; exhibit list; translation plan.</w:t>
            </w:r>
          </w:p>
        </w:tc>
      </w:tr>
      <w:tr w:rsidR="00E3316C" w:rsidRPr="00102618" w14:paraId="4CF961B8" w14:textId="77777777">
        <w:tc>
          <w:tcPr>
            <w:tcW w:w="2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C2CDE3C" w14:textId="77777777" w:rsidR="00E3316C" w:rsidRPr="00102618" w:rsidRDefault="00000000">
            <w:pPr>
              <w:rPr>
                <w:rFonts w:ascii="Garamond" w:hAnsi="Garamond"/>
                <w:sz w:val="24"/>
                <w:szCs w:val="24"/>
              </w:rPr>
            </w:pPr>
            <w:r w:rsidRPr="00102618">
              <w:rPr>
                <w:rFonts w:ascii="Garamond" w:hAnsi="Garamond"/>
                <w:sz w:val="24"/>
                <w:szCs w:val="24"/>
              </w:rPr>
              <w:t>Interview preparation</w:t>
            </w:r>
          </w:p>
        </w:tc>
        <w:tc>
          <w:tcPr>
            <w:tcW w:w="24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056814F" w14:textId="77777777" w:rsidR="00E3316C" w:rsidRPr="00102618" w:rsidRDefault="00000000">
            <w:pPr>
              <w:rPr>
                <w:rFonts w:ascii="Garamond" w:hAnsi="Garamond"/>
                <w:sz w:val="24"/>
                <w:szCs w:val="24"/>
              </w:rPr>
            </w:pPr>
            <w:r w:rsidRPr="00102618">
              <w:rPr>
                <w:rFonts w:ascii="Garamond" w:hAnsi="Garamond"/>
                <w:sz w:val="24"/>
                <w:szCs w:val="24"/>
              </w:rPr>
              <w:t>Helps the client understand the process and practice answering clearly without guessing.</w:t>
            </w:r>
          </w:p>
        </w:tc>
        <w:tc>
          <w:tcPr>
            <w:tcW w:w="24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1AB818D" w14:textId="77777777" w:rsidR="00E3316C" w:rsidRPr="00102618" w:rsidRDefault="00000000">
            <w:pPr>
              <w:rPr>
                <w:rFonts w:ascii="Garamond" w:hAnsi="Garamond"/>
                <w:sz w:val="24"/>
                <w:szCs w:val="24"/>
              </w:rPr>
            </w:pPr>
            <w:r w:rsidRPr="00102618">
              <w:rPr>
                <w:rFonts w:ascii="Garamond" w:hAnsi="Garamond"/>
                <w:sz w:val="24"/>
                <w:szCs w:val="24"/>
              </w:rPr>
              <w:t>CIAS helps identify high-risk topics, bridge scripts, interpreter issues, breaks, and core versus peripheral detail risks.</w:t>
            </w:r>
          </w:p>
        </w:tc>
        <w:tc>
          <w:tcPr>
            <w:tcW w:w="26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4B95CD7F" w14:textId="77777777" w:rsidR="00E3316C" w:rsidRPr="00102618" w:rsidRDefault="00000000">
            <w:pPr>
              <w:rPr>
                <w:rFonts w:ascii="Garamond" w:hAnsi="Garamond"/>
                <w:sz w:val="24"/>
                <w:szCs w:val="24"/>
              </w:rPr>
            </w:pPr>
            <w:r w:rsidRPr="00102618">
              <w:rPr>
                <w:rFonts w:ascii="Garamond" w:hAnsi="Garamond"/>
                <w:sz w:val="24"/>
                <w:szCs w:val="24"/>
              </w:rPr>
              <w:t>Interview prep checklist; meaning-check notes; clarification targets.</w:t>
            </w:r>
          </w:p>
        </w:tc>
      </w:tr>
      <w:tr w:rsidR="00E3316C" w:rsidRPr="00102618" w14:paraId="02E44C09" w14:textId="77777777">
        <w:tc>
          <w:tcPr>
            <w:tcW w:w="22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1626AEDB" w14:textId="77777777" w:rsidR="00E3316C" w:rsidRPr="00102618" w:rsidRDefault="00000000">
            <w:pPr>
              <w:rPr>
                <w:rFonts w:ascii="Garamond" w:hAnsi="Garamond"/>
                <w:sz w:val="24"/>
                <w:szCs w:val="24"/>
              </w:rPr>
            </w:pPr>
            <w:r w:rsidRPr="00102618">
              <w:rPr>
                <w:rFonts w:ascii="Garamond" w:hAnsi="Garamond"/>
                <w:sz w:val="24"/>
                <w:szCs w:val="24"/>
              </w:rPr>
              <w:t>Post-filing / case closure</w:t>
            </w:r>
          </w:p>
        </w:tc>
        <w:tc>
          <w:tcPr>
            <w:tcW w:w="24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650EC752" w14:textId="77777777" w:rsidR="00E3316C" w:rsidRPr="00102618" w:rsidRDefault="00000000">
            <w:pPr>
              <w:rPr>
                <w:rFonts w:ascii="Garamond" w:hAnsi="Garamond"/>
                <w:sz w:val="24"/>
                <w:szCs w:val="24"/>
              </w:rPr>
            </w:pPr>
            <w:r w:rsidRPr="00102618">
              <w:rPr>
                <w:rFonts w:ascii="Garamond" w:hAnsi="Garamond"/>
                <w:sz w:val="24"/>
                <w:szCs w:val="24"/>
              </w:rPr>
              <w:t>Tracks next steps, pending items, referrals, and the end of limited-scope representation where applicable.</w:t>
            </w:r>
          </w:p>
        </w:tc>
        <w:tc>
          <w:tcPr>
            <w:tcW w:w="24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030184BC" w14:textId="77777777" w:rsidR="00E3316C" w:rsidRPr="00102618" w:rsidRDefault="00000000">
            <w:pPr>
              <w:rPr>
                <w:rFonts w:ascii="Garamond" w:hAnsi="Garamond"/>
                <w:sz w:val="24"/>
                <w:szCs w:val="24"/>
              </w:rPr>
            </w:pPr>
            <w:r w:rsidRPr="00102618">
              <w:rPr>
                <w:rFonts w:ascii="Garamond" w:hAnsi="Garamond"/>
                <w:sz w:val="24"/>
                <w:szCs w:val="24"/>
              </w:rPr>
              <w:t>CIAS helps ensure the client leaves with usable next steps, copies, and a grounded close.</w:t>
            </w:r>
          </w:p>
        </w:tc>
        <w:tc>
          <w:tcPr>
            <w:tcW w:w="260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6C4DE202" w14:textId="77777777" w:rsidR="00E3316C" w:rsidRPr="00102618" w:rsidRDefault="00000000">
            <w:pPr>
              <w:rPr>
                <w:rFonts w:ascii="Garamond" w:hAnsi="Garamond"/>
                <w:sz w:val="24"/>
                <w:szCs w:val="24"/>
              </w:rPr>
            </w:pPr>
            <w:r w:rsidRPr="00102618">
              <w:rPr>
                <w:rFonts w:ascii="Garamond" w:hAnsi="Garamond"/>
                <w:sz w:val="24"/>
                <w:szCs w:val="24"/>
              </w:rPr>
              <w:t>Next-steps list; closure checklist; referrals / unresolved items.</w:t>
            </w:r>
          </w:p>
        </w:tc>
      </w:tr>
    </w:tbl>
    <w:p w14:paraId="0B45AF7E" w14:textId="77777777" w:rsidR="00E3316C" w:rsidRPr="00102618" w:rsidRDefault="00E3316C">
      <w:pPr>
        <w:spacing w:before="60" w:after="60"/>
        <w:rPr>
          <w:rFonts w:ascii="Garamond" w:hAnsi="Garamond"/>
          <w:sz w:val="24"/>
          <w:szCs w:val="24"/>
        </w:rPr>
      </w:pPr>
    </w:p>
    <w:p w14:paraId="0B6A2D6D" w14:textId="77777777" w:rsidR="00E3316C" w:rsidRPr="00E40C5D" w:rsidRDefault="00000000">
      <w:pPr>
        <w:pStyle w:val="Heading3"/>
        <w:rPr>
          <w:rFonts w:ascii="Garamond" w:hAnsi="Garamond"/>
          <w:color w:val="000000" w:themeColor="text1"/>
          <w:sz w:val="24"/>
          <w:szCs w:val="24"/>
        </w:rPr>
      </w:pPr>
      <w:proofErr w:type="gramStart"/>
      <w:r w:rsidRPr="00E40C5D">
        <w:rPr>
          <w:rFonts w:ascii="Garamond" w:hAnsi="Garamond"/>
          <w:color w:val="000000" w:themeColor="text1"/>
          <w:sz w:val="24"/>
          <w:szCs w:val="24"/>
        </w:rPr>
        <w:t>5.4  Reflective</w:t>
      </w:r>
      <w:proofErr w:type="gramEnd"/>
      <w:r w:rsidRPr="00E40C5D">
        <w:rPr>
          <w:rFonts w:ascii="Garamond" w:hAnsi="Garamond"/>
          <w:color w:val="000000" w:themeColor="text1"/>
          <w:sz w:val="24"/>
          <w:szCs w:val="24"/>
        </w:rPr>
        <w:t xml:space="preserve"> Questions Before Difficult Interviewing</w:t>
      </w:r>
    </w:p>
    <w:p w14:paraId="035D5EFF" w14:textId="77777777" w:rsidR="00E3316C" w:rsidRPr="00E40C5D" w:rsidRDefault="00000000">
      <w:pPr>
        <w:spacing w:after="120"/>
        <w:rPr>
          <w:rFonts w:ascii="Garamond" w:hAnsi="Garamond"/>
          <w:color w:val="000000" w:themeColor="text1"/>
          <w:sz w:val="24"/>
          <w:szCs w:val="24"/>
        </w:rPr>
      </w:pPr>
      <w:r w:rsidRPr="00E40C5D">
        <w:rPr>
          <w:rFonts w:ascii="Garamond" w:hAnsi="Garamond"/>
          <w:color w:val="000000" w:themeColor="text1"/>
          <w:sz w:val="24"/>
          <w:szCs w:val="24"/>
        </w:rPr>
        <w:t>This pause point is for use before difficult questioning or before drawing adverse conclusions from the narrative. Its purpose is to ensure the practitioner can identify the legal objective of the next inquiry and test whether an apparent gap may instead reflect trauma, language, development, shame, or context.</w:t>
      </w:r>
    </w:p>
    <w:p w14:paraId="30120DE5"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What</w:t>
      </w:r>
      <w:proofErr w:type="gramEnd"/>
      <w:r w:rsidRPr="00E40C5D">
        <w:rPr>
          <w:rFonts w:ascii="Garamond" w:hAnsi="Garamond"/>
          <w:color w:val="000000" w:themeColor="text1"/>
          <w:sz w:val="24"/>
          <w:szCs w:val="24"/>
        </w:rPr>
        <w:t xml:space="preserve"> assumptions am I making about truthfulness, coherence, affect, reporting, or chronology?</w:t>
      </w:r>
    </w:p>
    <w:p w14:paraId="3FABD20A"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Am</w:t>
      </w:r>
      <w:proofErr w:type="gramEnd"/>
      <w:r w:rsidRPr="00E40C5D">
        <w:rPr>
          <w:rFonts w:ascii="Garamond" w:hAnsi="Garamond"/>
          <w:color w:val="000000" w:themeColor="text1"/>
          <w:sz w:val="24"/>
          <w:szCs w:val="24"/>
        </w:rPr>
        <w:t xml:space="preserve"> I asking for legally necessary detail, or am I pressing because ambiguity makes me uncomfortable?</w:t>
      </w:r>
    </w:p>
    <w:p w14:paraId="3DA59BA4"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Is</w:t>
      </w:r>
      <w:proofErr w:type="gramEnd"/>
      <w:r w:rsidRPr="00E40C5D">
        <w:rPr>
          <w:rFonts w:ascii="Garamond" w:hAnsi="Garamond"/>
          <w:color w:val="000000" w:themeColor="text1"/>
          <w:sz w:val="24"/>
          <w:szCs w:val="24"/>
        </w:rPr>
        <w:t xml:space="preserve"> this the right meeting for this question, or will it be safer and more useful later?</w:t>
      </w:r>
    </w:p>
    <w:p w14:paraId="1550C82F"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Do</w:t>
      </w:r>
      <w:proofErr w:type="gramEnd"/>
      <w:r w:rsidRPr="00E40C5D">
        <w:rPr>
          <w:rFonts w:ascii="Garamond" w:hAnsi="Garamond"/>
          <w:color w:val="000000" w:themeColor="text1"/>
          <w:sz w:val="24"/>
          <w:szCs w:val="24"/>
        </w:rPr>
        <w:t xml:space="preserve"> I need psychosocial, medical, developmental, or language-access input before I interpret what I am hearing?</w:t>
      </w:r>
    </w:p>
    <w:p w14:paraId="571C723D" w14:textId="77777777" w:rsidR="00E3316C" w:rsidRPr="00E40C5D" w:rsidRDefault="00E3316C">
      <w:pPr>
        <w:spacing w:before="60" w:after="60"/>
        <w:rPr>
          <w:rFonts w:ascii="Garamond" w:hAnsi="Garamond"/>
          <w:color w:val="000000" w:themeColor="text1"/>
          <w:sz w:val="24"/>
          <w:szCs w:val="24"/>
        </w:rPr>
      </w:pPr>
    </w:p>
    <w:p w14:paraId="79576CB7" w14:textId="77777777" w:rsidR="00E3316C" w:rsidRPr="00E40C5D" w:rsidRDefault="00000000">
      <w:pPr>
        <w:pStyle w:val="Heading3"/>
        <w:rPr>
          <w:rFonts w:ascii="Garamond" w:hAnsi="Garamond"/>
          <w:color w:val="000000" w:themeColor="text1"/>
          <w:sz w:val="24"/>
          <w:szCs w:val="24"/>
        </w:rPr>
      </w:pPr>
      <w:proofErr w:type="gramStart"/>
      <w:r w:rsidRPr="00E40C5D">
        <w:rPr>
          <w:rFonts w:ascii="Garamond" w:hAnsi="Garamond"/>
          <w:color w:val="000000" w:themeColor="text1"/>
          <w:sz w:val="24"/>
          <w:szCs w:val="24"/>
        </w:rPr>
        <w:t>5.5  Attorney</w:t>
      </w:r>
      <w:proofErr w:type="gramEnd"/>
      <w:r w:rsidRPr="00E40C5D">
        <w:rPr>
          <w:rFonts w:ascii="Garamond" w:hAnsi="Garamond"/>
          <w:color w:val="000000" w:themeColor="text1"/>
          <w:sz w:val="24"/>
          <w:szCs w:val="24"/>
        </w:rPr>
        <w:t xml:space="preserve"> Quick-Start: What Do You Need Today?</w:t>
      </w:r>
    </w:p>
    <w:p w14:paraId="29F2B187" w14:textId="77777777" w:rsidR="00E3316C" w:rsidRPr="00E40C5D" w:rsidRDefault="00000000">
      <w:pPr>
        <w:spacing w:after="120"/>
        <w:rPr>
          <w:rFonts w:ascii="Garamond" w:hAnsi="Garamond"/>
          <w:color w:val="000000" w:themeColor="text1"/>
          <w:sz w:val="24"/>
          <w:szCs w:val="24"/>
        </w:rPr>
      </w:pPr>
      <w:r w:rsidRPr="00E40C5D">
        <w:rPr>
          <w:rFonts w:ascii="Garamond" w:hAnsi="Garamond"/>
          <w:color w:val="000000" w:themeColor="text1"/>
          <w:sz w:val="24"/>
          <w:szCs w:val="24"/>
        </w:rPr>
        <w:t>This checklist translates common case needs into immediate next steps, helping the practitioner move efficiently from identifying the current task to the toolkit section most likely to advance the case.</w:t>
      </w:r>
    </w:p>
    <w:p w14:paraId="5E91440F"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lastRenderedPageBreak/>
        <w:t>☐</w:t>
      </w:r>
      <w:r w:rsidRPr="00E40C5D">
        <w:rPr>
          <w:rFonts w:ascii="Garamond" w:hAnsi="Garamond"/>
          <w:color w:val="000000" w:themeColor="text1"/>
          <w:sz w:val="24"/>
          <w:szCs w:val="24"/>
        </w:rPr>
        <w:t xml:space="preserve">  I</w:t>
      </w:r>
      <w:proofErr w:type="gramEnd"/>
      <w:r w:rsidRPr="00E40C5D">
        <w:rPr>
          <w:rFonts w:ascii="Garamond" w:hAnsi="Garamond"/>
          <w:color w:val="000000" w:themeColor="text1"/>
          <w:sz w:val="24"/>
          <w:szCs w:val="24"/>
        </w:rPr>
        <w:t xml:space="preserve"> need to determine whether there is a viable claim and what cannot wait. → Start with Section 6: Intake Claim Triage.</w:t>
      </w:r>
    </w:p>
    <w:p w14:paraId="05ECE040"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I</w:t>
      </w:r>
      <w:proofErr w:type="gramEnd"/>
      <w:r w:rsidRPr="00E40C5D">
        <w:rPr>
          <w:rFonts w:ascii="Garamond" w:hAnsi="Garamond"/>
          <w:color w:val="000000" w:themeColor="text1"/>
          <w:sz w:val="24"/>
          <w:szCs w:val="24"/>
        </w:rPr>
        <w:t xml:space="preserve"> need to stage the narrative over multiple meetings. → Use Section 7: Multi-Meeting Narrative Development Roadmap.</w:t>
      </w:r>
    </w:p>
    <w:p w14:paraId="6B63A0D5"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I</w:t>
      </w:r>
      <w:proofErr w:type="gramEnd"/>
      <w:r w:rsidRPr="00E40C5D">
        <w:rPr>
          <w:rFonts w:ascii="Garamond" w:hAnsi="Garamond"/>
          <w:color w:val="000000" w:themeColor="text1"/>
          <w:sz w:val="24"/>
          <w:szCs w:val="24"/>
        </w:rPr>
        <w:t xml:space="preserve"> need better questions without forcing exact dates or overloading the client. → Use Section 8: Prompt Bank by Interview Stage.</w:t>
      </w:r>
    </w:p>
    <w:p w14:paraId="681E0450"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I</w:t>
      </w:r>
      <w:proofErr w:type="gramEnd"/>
      <w:r w:rsidRPr="00E40C5D">
        <w:rPr>
          <w:rFonts w:ascii="Garamond" w:hAnsi="Garamond"/>
          <w:color w:val="000000" w:themeColor="text1"/>
          <w:sz w:val="24"/>
          <w:szCs w:val="24"/>
        </w:rPr>
        <w:t xml:space="preserve"> need to explain late disclosure, partial disclosure, shame, or fragmented recall. → Use Section 9: Delay, Partial Disclosure, and Barriers.</w:t>
      </w:r>
    </w:p>
    <w:p w14:paraId="62985158"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I</w:t>
      </w:r>
      <w:proofErr w:type="gramEnd"/>
      <w:r w:rsidRPr="00E40C5D">
        <w:rPr>
          <w:rFonts w:ascii="Garamond" w:hAnsi="Garamond"/>
          <w:color w:val="000000" w:themeColor="text1"/>
          <w:sz w:val="24"/>
          <w:szCs w:val="24"/>
        </w:rPr>
        <w:t xml:space="preserve"> need language to ask difficult questions without damaging trust. → Use Section 10: Bridge Scripts, Legal Rationale, and Meaning-Check Scripts.</w:t>
      </w:r>
    </w:p>
    <w:p w14:paraId="08758679"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I</w:t>
      </w:r>
      <w:proofErr w:type="gramEnd"/>
      <w:r w:rsidRPr="00E40C5D">
        <w:rPr>
          <w:rFonts w:ascii="Garamond" w:hAnsi="Garamond"/>
          <w:color w:val="000000" w:themeColor="text1"/>
          <w:sz w:val="24"/>
          <w:szCs w:val="24"/>
        </w:rPr>
        <w:t xml:space="preserve"> need to review a sparse, shifting, or uneven declaration. → Use Section 11: Affidavit and Narrative Review Toolkit.</w:t>
      </w:r>
    </w:p>
    <w:p w14:paraId="1FB479D8"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I</w:t>
      </w:r>
      <w:proofErr w:type="gramEnd"/>
      <w:r w:rsidRPr="00E40C5D">
        <w:rPr>
          <w:rFonts w:ascii="Garamond" w:hAnsi="Garamond"/>
          <w:color w:val="000000" w:themeColor="text1"/>
          <w:sz w:val="24"/>
          <w:szCs w:val="24"/>
        </w:rPr>
        <w:t xml:space="preserve"> need to plan corroboration, exhibits, or clarify whether expert support may help. → Use Section 12: Evidence and Exhibit Organizer.</w:t>
      </w:r>
    </w:p>
    <w:p w14:paraId="69B31B8C"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I</w:t>
      </w:r>
      <w:proofErr w:type="gramEnd"/>
      <w:r w:rsidRPr="00E40C5D">
        <w:rPr>
          <w:rFonts w:ascii="Garamond" w:hAnsi="Garamond"/>
          <w:color w:val="000000" w:themeColor="text1"/>
          <w:sz w:val="24"/>
          <w:szCs w:val="24"/>
        </w:rPr>
        <w:t xml:space="preserve"> need interpreter planning, language-access guidance, or a record of possible meaning distortion. → Use Section 13: Interpreter and Language-Access Guidance.</w:t>
      </w:r>
    </w:p>
    <w:p w14:paraId="1734C006"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I</w:t>
      </w:r>
      <w:proofErr w:type="gramEnd"/>
      <w:r w:rsidRPr="00E40C5D">
        <w:rPr>
          <w:rFonts w:ascii="Garamond" w:hAnsi="Garamond"/>
          <w:color w:val="000000" w:themeColor="text1"/>
          <w:sz w:val="24"/>
          <w:szCs w:val="24"/>
        </w:rPr>
        <w:t xml:space="preserve"> need to prepare for filing, interview, next steps, or limited-scope closure. → Use Section 15: Next Steps After Filing, Interview Prep, and Case Closure.</w:t>
      </w:r>
    </w:p>
    <w:p w14:paraId="5DB76AD0" w14:textId="77777777" w:rsidR="00E3316C" w:rsidRPr="00E40C5D" w:rsidRDefault="00E3316C">
      <w:pPr>
        <w:spacing w:before="60" w:after="60"/>
        <w:rPr>
          <w:rFonts w:ascii="Garamond" w:hAnsi="Garamond"/>
          <w:color w:val="000000" w:themeColor="text1"/>
          <w:sz w:val="24"/>
          <w:szCs w:val="24"/>
        </w:rPr>
      </w:pPr>
    </w:p>
    <w:p w14:paraId="60899616" w14:textId="77777777" w:rsidR="00E3316C" w:rsidRPr="00E40C5D" w:rsidRDefault="00000000">
      <w:pPr>
        <w:pStyle w:val="Heading3"/>
        <w:rPr>
          <w:rFonts w:ascii="Garamond" w:hAnsi="Garamond"/>
          <w:color w:val="000000" w:themeColor="text1"/>
          <w:sz w:val="24"/>
          <w:szCs w:val="24"/>
        </w:rPr>
      </w:pPr>
      <w:proofErr w:type="gramStart"/>
      <w:r w:rsidRPr="00E40C5D">
        <w:rPr>
          <w:rFonts w:ascii="Garamond" w:hAnsi="Garamond"/>
          <w:color w:val="000000" w:themeColor="text1"/>
          <w:sz w:val="24"/>
          <w:szCs w:val="24"/>
        </w:rPr>
        <w:t>5.6  Common</w:t>
      </w:r>
      <w:proofErr w:type="gramEnd"/>
      <w:r w:rsidRPr="00E40C5D">
        <w:rPr>
          <w:rFonts w:ascii="Garamond" w:hAnsi="Garamond"/>
          <w:color w:val="000000" w:themeColor="text1"/>
          <w:sz w:val="24"/>
          <w:szCs w:val="24"/>
        </w:rPr>
        <w:t xml:space="preserve"> Issues: Ask / Note / Flag</w:t>
      </w:r>
    </w:p>
    <w:p w14:paraId="194FB2BF" w14:textId="77777777" w:rsidR="00E3316C" w:rsidRPr="00E40C5D" w:rsidRDefault="00000000">
      <w:pPr>
        <w:spacing w:after="120"/>
        <w:rPr>
          <w:rFonts w:ascii="Garamond" w:hAnsi="Garamond"/>
          <w:color w:val="000000" w:themeColor="text1"/>
          <w:sz w:val="24"/>
          <w:szCs w:val="24"/>
        </w:rPr>
      </w:pPr>
      <w:r w:rsidRPr="00E40C5D">
        <w:rPr>
          <w:rFonts w:ascii="Garamond" w:hAnsi="Garamond"/>
          <w:color w:val="000000" w:themeColor="text1"/>
          <w:sz w:val="24"/>
          <w:szCs w:val="24"/>
        </w:rPr>
        <w:t>This section translates recurring interviewing and documentation problems into standardized responses. Rather than leaving these moments to improvisation, it identifies what should be asked, noted, or flagged before the issue is converted into a legal interpretation.</w:t>
      </w:r>
    </w:p>
    <w:p w14:paraId="2188FA51"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Client</w:t>
      </w:r>
      <w:proofErr w:type="gramEnd"/>
      <w:r w:rsidRPr="00E40C5D">
        <w:rPr>
          <w:rFonts w:ascii="Garamond" w:hAnsi="Garamond"/>
          <w:color w:val="000000" w:themeColor="text1"/>
          <w:sz w:val="24"/>
          <w:szCs w:val="24"/>
        </w:rPr>
        <w:t xml:space="preserve"> cannot give exact dates. → Do not force calendar precision; use season, holiday, election, school year, weather, or life-event anchors.</w:t>
      </w:r>
    </w:p>
    <w:p w14:paraId="1EF7C05B"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Client</w:t>
      </w:r>
      <w:proofErr w:type="gramEnd"/>
      <w:r w:rsidRPr="00E40C5D">
        <w:rPr>
          <w:rFonts w:ascii="Garamond" w:hAnsi="Garamond"/>
          <w:color w:val="000000" w:themeColor="text1"/>
          <w:sz w:val="24"/>
          <w:szCs w:val="24"/>
        </w:rPr>
        <w:t xml:space="preserve"> becomes vague, numb, flooded, or abruptly changes topic. → Apply the Stop Rule, contain the moment, and flag the topic as Not Ready.</w:t>
      </w:r>
    </w:p>
    <w:p w14:paraId="219B2F1D"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Narrative</w:t>
      </w:r>
      <w:proofErr w:type="gramEnd"/>
      <w:r w:rsidRPr="00E40C5D">
        <w:rPr>
          <w:rFonts w:ascii="Garamond" w:hAnsi="Garamond"/>
          <w:color w:val="000000" w:themeColor="text1"/>
          <w:sz w:val="24"/>
          <w:szCs w:val="24"/>
        </w:rPr>
        <w:t xml:space="preserve"> feels sparse or dishonest. → Separate core from peripheral details before interpreting the problem as deception.</w:t>
      </w:r>
    </w:p>
    <w:p w14:paraId="596B2D05"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Client</w:t>
      </w:r>
      <w:proofErr w:type="gramEnd"/>
      <w:r w:rsidRPr="00E40C5D">
        <w:rPr>
          <w:rFonts w:ascii="Garamond" w:hAnsi="Garamond"/>
          <w:color w:val="000000" w:themeColor="text1"/>
          <w:sz w:val="24"/>
          <w:szCs w:val="24"/>
        </w:rPr>
        <w:t xml:space="preserve"> says they did not report, delayed reporting, or left facts out earlier. → Use the Delay / Disclosure tool in Section 9 and note barriers neutrally.</w:t>
      </w:r>
    </w:p>
    <w:p w14:paraId="7FAB0F93"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Interpreter</w:t>
      </w:r>
      <w:proofErr w:type="gramEnd"/>
      <w:r w:rsidRPr="00E40C5D">
        <w:rPr>
          <w:rFonts w:ascii="Garamond" w:hAnsi="Garamond"/>
          <w:color w:val="000000" w:themeColor="text1"/>
          <w:sz w:val="24"/>
          <w:szCs w:val="24"/>
        </w:rPr>
        <w:t xml:space="preserve"> may be flattening, summarizing, or shifting meaning. → Use the Meaning-Check Scripts in Section 10 and the Interpreter Observation Log in Section 13.</w:t>
      </w:r>
    </w:p>
    <w:p w14:paraId="608176C8"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Client</w:t>
      </w:r>
      <w:proofErr w:type="gramEnd"/>
      <w:r w:rsidRPr="00E40C5D">
        <w:rPr>
          <w:rFonts w:ascii="Garamond" w:hAnsi="Garamond"/>
          <w:color w:val="000000" w:themeColor="text1"/>
          <w:sz w:val="24"/>
          <w:szCs w:val="24"/>
        </w:rPr>
        <w:t xml:space="preserve"> was harmed as a child or shows milestone-based rather than calendar-based recall. → Use Developmental and Youth Considerations in Section 9 before drawing conclusions.</w:t>
      </w:r>
    </w:p>
    <w:p w14:paraId="61B6C493"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Case</w:t>
      </w:r>
      <w:proofErr w:type="gramEnd"/>
      <w:r w:rsidRPr="00E40C5D">
        <w:rPr>
          <w:rFonts w:ascii="Garamond" w:hAnsi="Garamond"/>
          <w:color w:val="000000" w:themeColor="text1"/>
          <w:sz w:val="24"/>
          <w:szCs w:val="24"/>
        </w:rPr>
        <w:t xml:space="preserve"> would benefit from more context than the legal interview can ethically elicit alone. → Consider psychosocial, medical, or expert corroboration support (Section 12).</w:t>
      </w:r>
    </w:p>
    <w:p w14:paraId="3BA02726" w14:textId="77777777" w:rsidR="00E3316C" w:rsidRPr="00E40C5D" w:rsidRDefault="00000000">
      <w:pPr>
        <w:rPr>
          <w:rFonts w:ascii="Garamond" w:hAnsi="Garamond"/>
          <w:color w:val="000000" w:themeColor="text1"/>
          <w:sz w:val="24"/>
          <w:szCs w:val="24"/>
        </w:rPr>
      </w:pPr>
      <w:r w:rsidRPr="00E40C5D">
        <w:rPr>
          <w:rFonts w:ascii="Garamond" w:hAnsi="Garamond"/>
          <w:color w:val="000000" w:themeColor="text1"/>
          <w:sz w:val="24"/>
          <w:szCs w:val="24"/>
        </w:rPr>
        <w:br w:type="page"/>
      </w:r>
    </w:p>
    <w:p w14:paraId="0A0ABE4A" w14:textId="77777777" w:rsidR="00E3316C" w:rsidRPr="00E40C5D" w:rsidRDefault="00000000">
      <w:pPr>
        <w:pStyle w:val="Heading2"/>
        <w:pBdr>
          <w:bottom w:val="single" w:sz="6" w:space="1" w:color="2E75B6"/>
        </w:pBdr>
        <w:rPr>
          <w:rFonts w:ascii="Garamond" w:hAnsi="Garamond"/>
          <w:color w:val="000000" w:themeColor="text1"/>
          <w:sz w:val="24"/>
          <w:szCs w:val="24"/>
        </w:rPr>
      </w:pPr>
      <w:r w:rsidRPr="00E40C5D">
        <w:rPr>
          <w:rFonts w:ascii="Garamond" w:hAnsi="Garamond"/>
          <w:color w:val="000000" w:themeColor="text1"/>
          <w:sz w:val="24"/>
          <w:szCs w:val="24"/>
        </w:rPr>
        <w:lastRenderedPageBreak/>
        <w:t>Section 6. Intake Claim Triage</w:t>
      </w:r>
    </w:p>
    <w:p w14:paraId="5932DC6C" w14:textId="77777777" w:rsidR="00E3316C" w:rsidRPr="00E40C5D" w:rsidRDefault="00000000">
      <w:pPr>
        <w:spacing w:after="120"/>
        <w:rPr>
          <w:rFonts w:ascii="Garamond" w:hAnsi="Garamond"/>
          <w:color w:val="000000" w:themeColor="text1"/>
          <w:sz w:val="24"/>
          <w:szCs w:val="24"/>
        </w:rPr>
      </w:pPr>
      <w:r w:rsidRPr="00E40C5D">
        <w:rPr>
          <w:rFonts w:ascii="Garamond" w:hAnsi="Garamond"/>
          <w:color w:val="000000" w:themeColor="text1"/>
          <w:sz w:val="24"/>
          <w:szCs w:val="24"/>
        </w:rPr>
        <w:t>Intake is not the stage at which every material detail will reliably emerge. Research consistently shows that chronology problems, avoidance, fragmented recall, shame, and language-mediated recall shifts can make early disclosure incomplete—even when the client is entirely truthful (</w:t>
      </w:r>
      <w:proofErr w:type="spellStart"/>
      <w:r w:rsidRPr="00E40C5D">
        <w:rPr>
          <w:rFonts w:ascii="Garamond" w:hAnsi="Garamond"/>
          <w:color w:val="000000" w:themeColor="text1"/>
          <w:sz w:val="24"/>
          <w:szCs w:val="24"/>
        </w:rPr>
        <w:t>Bögner</w:t>
      </w:r>
      <w:proofErr w:type="spellEnd"/>
      <w:r w:rsidRPr="00E40C5D">
        <w:rPr>
          <w:rFonts w:ascii="Garamond" w:hAnsi="Garamond"/>
          <w:color w:val="000000" w:themeColor="text1"/>
          <w:sz w:val="24"/>
          <w:szCs w:val="24"/>
        </w:rPr>
        <w:t xml:space="preserve"> et al., 2007; Saadi et al., 2021; Marian &amp; Neisser, 2000). This section provides structured tools for issue spotting, broad claim viability, and flags for follow-up, rather than full narrative extraction at the first meeting. The tools in this section prioritize what is legally essential to capture at intake and what should be deferred to later sessions as trust develops.</w:t>
      </w:r>
    </w:p>
    <w:p w14:paraId="0F3EF647" w14:textId="77777777" w:rsidR="00E3316C" w:rsidRPr="00E40C5D" w:rsidRDefault="00E3316C">
      <w:pPr>
        <w:spacing w:before="60" w:after="60"/>
        <w:rPr>
          <w:rFonts w:ascii="Garamond" w:hAnsi="Garamond"/>
          <w:color w:val="000000" w:themeColor="text1"/>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3316C" w:rsidRPr="00E40C5D" w14:paraId="65C59E0A" w14:textId="77777777">
        <w:tc>
          <w:tcPr>
            <w:tcW w:w="9360" w:type="dxa"/>
            <w:tcBorders>
              <w:top w:val="single" w:sz="8" w:space="0" w:color="C49A00"/>
              <w:left w:val="single" w:sz="8" w:space="0" w:color="C49A00"/>
              <w:bottom w:val="single" w:sz="8" w:space="0" w:color="C49A00"/>
              <w:right w:val="single" w:sz="8" w:space="0" w:color="C49A00"/>
            </w:tcBorders>
            <w:shd w:val="clear" w:color="auto" w:fill="FFF2CC"/>
            <w:tcMar>
              <w:top w:w="120" w:type="dxa"/>
              <w:left w:w="160" w:type="dxa"/>
              <w:bottom w:w="120" w:type="dxa"/>
              <w:right w:w="160" w:type="dxa"/>
            </w:tcMar>
          </w:tcPr>
          <w:p w14:paraId="7D7AA980" w14:textId="77777777" w:rsidR="00E3316C" w:rsidRPr="00E40C5D" w:rsidRDefault="00000000">
            <w:pPr>
              <w:spacing w:after="120"/>
              <w:rPr>
                <w:rFonts w:ascii="Garamond" w:hAnsi="Garamond"/>
                <w:color w:val="000000" w:themeColor="text1"/>
                <w:sz w:val="24"/>
                <w:szCs w:val="24"/>
              </w:rPr>
            </w:pPr>
            <w:proofErr w:type="gramStart"/>
            <w:r w:rsidRPr="00E40C5D">
              <w:rPr>
                <w:rFonts w:ascii="Apple Color Emoji" w:hAnsi="Apple Color Emoji" w:cs="Apple Color Emoji"/>
                <w:b/>
                <w:bCs/>
                <w:color w:val="000000" w:themeColor="text1"/>
                <w:sz w:val="24"/>
                <w:szCs w:val="24"/>
              </w:rPr>
              <w:t>⚠</w:t>
            </w:r>
            <w:r w:rsidRPr="00E40C5D">
              <w:rPr>
                <w:rFonts w:ascii="Garamond" w:hAnsi="Garamond"/>
                <w:b/>
                <w:bCs/>
                <w:color w:val="000000" w:themeColor="text1"/>
                <w:sz w:val="24"/>
                <w:szCs w:val="24"/>
              </w:rPr>
              <w:t xml:space="preserve">  STOP</w:t>
            </w:r>
            <w:proofErr w:type="gramEnd"/>
            <w:r w:rsidRPr="00E40C5D">
              <w:rPr>
                <w:rFonts w:ascii="Garamond" w:hAnsi="Garamond"/>
                <w:b/>
                <w:bCs/>
                <w:color w:val="000000" w:themeColor="text1"/>
                <w:sz w:val="24"/>
                <w:szCs w:val="24"/>
              </w:rPr>
              <w:t xml:space="preserve"> RULE.  </w:t>
            </w:r>
            <w:r w:rsidRPr="00E40C5D">
              <w:rPr>
                <w:rFonts w:ascii="Garamond" w:hAnsi="Garamond"/>
                <w:color w:val="000000" w:themeColor="text1"/>
                <w:sz w:val="24"/>
                <w:szCs w:val="24"/>
              </w:rPr>
              <w:t xml:space="preserve">Intake is for orientation and broad issue spotting—not full trauma extraction. If the client shows dissociation, extreme avoidance, blank affect, acute distress, or vague references to sexual violence or severe family abuse, stop that line of questioning, ground the client, and flag the area as "Not Ready." This rule reflects trauma-informed care principles and the enabled-disclosure logic supported by the GBV disclosure literature (Center for Human Rights, Gender and Migration at Washington University in St. Louis, Red Regional de </w:t>
            </w:r>
            <w:proofErr w:type="spellStart"/>
            <w:r w:rsidRPr="00E40C5D">
              <w:rPr>
                <w:rFonts w:ascii="Garamond" w:hAnsi="Garamond"/>
                <w:color w:val="000000" w:themeColor="text1"/>
                <w:sz w:val="24"/>
                <w:szCs w:val="24"/>
              </w:rPr>
              <w:t>Espacios</w:t>
            </w:r>
            <w:proofErr w:type="spellEnd"/>
            <w:r w:rsidRPr="00E40C5D">
              <w:rPr>
                <w:rFonts w:ascii="Garamond" w:hAnsi="Garamond"/>
                <w:color w:val="000000" w:themeColor="text1"/>
                <w:sz w:val="24"/>
                <w:szCs w:val="24"/>
              </w:rPr>
              <w:t xml:space="preserve"> Seguros, &amp; UNHCR, 2020; </w:t>
            </w:r>
            <w:proofErr w:type="spellStart"/>
            <w:r w:rsidRPr="00E40C5D">
              <w:rPr>
                <w:rFonts w:ascii="Garamond" w:hAnsi="Garamond"/>
                <w:color w:val="000000" w:themeColor="text1"/>
                <w:sz w:val="24"/>
                <w:szCs w:val="24"/>
              </w:rPr>
              <w:t>Bögner</w:t>
            </w:r>
            <w:proofErr w:type="spellEnd"/>
            <w:r w:rsidRPr="00E40C5D">
              <w:rPr>
                <w:rFonts w:ascii="Garamond" w:hAnsi="Garamond"/>
                <w:color w:val="000000" w:themeColor="text1"/>
                <w:sz w:val="24"/>
                <w:szCs w:val="24"/>
              </w:rPr>
              <w:t xml:space="preserve"> et al., 2007; Victim Support Europe, 2021).</w:t>
            </w:r>
          </w:p>
        </w:tc>
      </w:tr>
    </w:tbl>
    <w:p w14:paraId="694CE04A" w14:textId="77777777" w:rsidR="00E3316C" w:rsidRPr="00E40C5D" w:rsidRDefault="00E3316C">
      <w:pPr>
        <w:spacing w:before="60" w:after="60"/>
        <w:rPr>
          <w:rFonts w:ascii="Garamond" w:hAnsi="Garamond"/>
          <w:color w:val="000000" w:themeColor="text1"/>
          <w:sz w:val="24"/>
          <w:szCs w:val="24"/>
        </w:rPr>
      </w:pPr>
    </w:p>
    <w:p w14:paraId="45455DFC" w14:textId="77777777" w:rsidR="00E3316C" w:rsidRPr="00E40C5D" w:rsidRDefault="00000000">
      <w:pPr>
        <w:pStyle w:val="Heading3"/>
        <w:rPr>
          <w:rFonts w:ascii="Garamond" w:hAnsi="Garamond"/>
          <w:color w:val="000000" w:themeColor="text1"/>
          <w:sz w:val="24"/>
          <w:szCs w:val="24"/>
        </w:rPr>
      </w:pPr>
      <w:r w:rsidRPr="00E40C5D">
        <w:rPr>
          <w:rFonts w:ascii="Garamond" w:hAnsi="Garamond"/>
          <w:color w:val="000000" w:themeColor="text1"/>
          <w:sz w:val="24"/>
          <w:szCs w:val="24"/>
        </w:rPr>
        <w:t>6A.  Immediate Claim Screen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20"/>
        <w:gridCol w:w="3420"/>
        <w:gridCol w:w="2880"/>
      </w:tblGrid>
      <w:tr w:rsidR="00E3316C" w:rsidRPr="00102618" w14:paraId="723A8D1E" w14:textId="77777777">
        <w:trPr>
          <w:tblHeader/>
        </w:trPr>
        <w:tc>
          <w:tcPr>
            <w:tcW w:w="34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113363FE" w14:textId="77777777" w:rsidR="00E3316C" w:rsidRPr="00102618" w:rsidRDefault="00000000">
            <w:pPr>
              <w:rPr>
                <w:rFonts w:ascii="Garamond" w:hAnsi="Garamond"/>
                <w:sz w:val="24"/>
                <w:szCs w:val="24"/>
              </w:rPr>
            </w:pPr>
            <w:r w:rsidRPr="00102618">
              <w:rPr>
                <w:rFonts w:ascii="Garamond" w:hAnsi="Garamond"/>
                <w:b/>
                <w:bCs/>
                <w:color w:val="FFFFFF"/>
                <w:sz w:val="24"/>
                <w:szCs w:val="24"/>
              </w:rPr>
              <w:t>Question or Capture Point</w:t>
            </w:r>
          </w:p>
        </w:tc>
        <w:tc>
          <w:tcPr>
            <w:tcW w:w="34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7B8FB9C6" w14:textId="77777777" w:rsidR="00E3316C" w:rsidRPr="00102618" w:rsidRDefault="00000000">
            <w:pPr>
              <w:rPr>
                <w:rFonts w:ascii="Garamond" w:hAnsi="Garamond"/>
                <w:sz w:val="24"/>
                <w:szCs w:val="24"/>
              </w:rPr>
            </w:pPr>
            <w:r w:rsidRPr="00102618">
              <w:rPr>
                <w:rFonts w:ascii="Garamond" w:hAnsi="Garamond"/>
                <w:b/>
                <w:bCs/>
                <w:color w:val="FFFFFF"/>
                <w:sz w:val="24"/>
                <w:szCs w:val="24"/>
              </w:rPr>
              <w:t>Notes / Client Language</w:t>
            </w:r>
          </w:p>
        </w:tc>
        <w:tc>
          <w:tcPr>
            <w:tcW w:w="288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53D6CB1A" w14:textId="77777777" w:rsidR="00E3316C" w:rsidRPr="00102618" w:rsidRDefault="00000000">
            <w:pPr>
              <w:rPr>
                <w:rFonts w:ascii="Garamond" w:hAnsi="Garamond"/>
                <w:sz w:val="24"/>
                <w:szCs w:val="24"/>
              </w:rPr>
            </w:pPr>
            <w:r w:rsidRPr="00102618">
              <w:rPr>
                <w:rFonts w:ascii="Garamond" w:hAnsi="Garamond"/>
                <w:b/>
                <w:bCs/>
                <w:color w:val="FFFFFF"/>
                <w:sz w:val="24"/>
                <w:szCs w:val="24"/>
              </w:rPr>
              <w:t>Follow-Up?</w:t>
            </w:r>
          </w:p>
        </w:tc>
      </w:tr>
      <w:tr w:rsidR="00E3316C" w:rsidRPr="00102618" w14:paraId="50EB5A5B" w14:textId="77777777">
        <w:tc>
          <w:tcPr>
            <w:tcW w:w="34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4B44AE96" w14:textId="77777777" w:rsidR="00E3316C" w:rsidRPr="00102618" w:rsidRDefault="00000000">
            <w:pPr>
              <w:rPr>
                <w:rFonts w:ascii="Garamond" w:hAnsi="Garamond"/>
                <w:sz w:val="24"/>
                <w:szCs w:val="24"/>
              </w:rPr>
            </w:pPr>
            <w:r w:rsidRPr="00102618">
              <w:rPr>
                <w:rFonts w:ascii="Garamond" w:hAnsi="Garamond"/>
                <w:sz w:val="24"/>
                <w:szCs w:val="24"/>
              </w:rPr>
              <w:t>What happened that makes return feel unsafe?</w:t>
            </w:r>
          </w:p>
        </w:tc>
        <w:tc>
          <w:tcPr>
            <w:tcW w:w="34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4EA7F8B" w14:textId="77777777" w:rsidR="00E3316C" w:rsidRPr="00102618" w:rsidRDefault="00E3316C">
            <w:pPr>
              <w:rPr>
                <w:rFonts w:ascii="Garamond" w:hAnsi="Garamond"/>
                <w:sz w:val="24"/>
                <w:szCs w:val="24"/>
              </w:rPr>
            </w:pPr>
          </w:p>
        </w:tc>
        <w:tc>
          <w:tcPr>
            <w:tcW w:w="28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32BC32C" w14:textId="77777777" w:rsidR="00E3316C" w:rsidRPr="00102618" w:rsidRDefault="00000000">
            <w:pPr>
              <w:rPr>
                <w:rFonts w:ascii="Garamond" w:hAnsi="Garamond"/>
                <w:sz w:val="24"/>
                <w:szCs w:val="24"/>
              </w:rPr>
            </w:pPr>
            <w:r w:rsidRPr="00102618">
              <w:rPr>
                <w:rFonts w:ascii="Segoe UI Symbol" w:hAnsi="Segoe UI Symbol" w:cs="Segoe UI Symbol"/>
                <w:sz w:val="24"/>
                <w:szCs w:val="24"/>
              </w:rPr>
              <w:t>☐</w:t>
            </w:r>
          </w:p>
        </w:tc>
      </w:tr>
      <w:tr w:rsidR="00E3316C" w:rsidRPr="00102618" w14:paraId="359F642D" w14:textId="77777777">
        <w:tc>
          <w:tcPr>
            <w:tcW w:w="34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6FF63A0F" w14:textId="77777777" w:rsidR="00E3316C" w:rsidRPr="00102618" w:rsidRDefault="00000000">
            <w:pPr>
              <w:rPr>
                <w:rFonts w:ascii="Garamond" w:hAnsi="Garamond"/>
                <w:sz w:val="24"/>
                <w:szCs w:val="24"/>
              </w:rPr>
            </w:pPr>
            <w:r w:rsidRPr="00102618">
              <w:rPr>
                <w:rFonts w:ascii="Garamond" w:hAnsi="Garamond"/>
                <w:sz w:val="24"/>
                <w:szCs w:val="24"/>
              </w:rPr>
              <w:t>What harm, threat, or persecution is being described?</w:t>
            </w:r>
          </w:p>
        </w:tc>
        <w:tc>
          <w:tcPr>
            <w:tcW w:w="34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541E4BF5" w14:textId="77777777" w:rsidR="00E3316C" w:rsidRPr="00102618" w:rsidRDefault="00E3316C">
            <w:pPr>
              <w:rPr>
                <w:rFonts w:ascii="Garamond" w:hAnsi="Garamond"/>
                <w:sz w:val="24"/>
                <w:szCs w:val="24"/>
              </w:rPr>
            </w:pPr>
          </w:p>
        </w:tc>
        <w:tc>
          <w:tcPr>
            <w:tcW w:w="288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2954CF3F" w14:textId="77777777" w:rsidR="00E3316C" w:rsidRPr="00102618" w:rsidRDefault="00000000">
            <w:pPr>
              <w:rPr>
                <w:rFonts w:ascii="Garamond" w:hAnsi="Garamond"/>
                <w:sz w:val="24"/>
                <w:szCs w:val="24"/>
              </w:rPr>
            </w:pPr>
            <w:r w:rsidRPr="00102618">
              <w:rPr>
                <w:rFonts w:ascii="Segoe UI Symbol" w:hAnsi="Segoe UI Symbol" w:cs="Segoe UI Symbol"/>
                <w:sz w:val="24"/>
                <w:szCs w:val="24"/>
              </w:rPr>
              <w:t>☐</w:t>
            </w:r>
          </w:p>
        </w:tc>
      </w:tr>
      <w:tr w:rsidR="00E3316C" w:rsidRPr="00102618" w14:paraId="4320E8B9" w14:textId="77777777">
        <w:tc>
          <w:tcPr>
            <w:tcW w:w="34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3ED2E658" w14:textId="77777777" w:rsidR="00E3316C" w:rsidRPr="00102618" w:rsidRDefault="00000000">
            <w:pPr>
              <w:rPr>
                <w:rFonts w:ascii="Garamond" w:hAnsi="Garamond"/>
                <w:sz w:val="24"/>
                <w:szCs w:val="24"/>
              </w:rPr>
            </w:pPr>
            <w:r w:rsidRPr="00102618">
              <w:rPr>
                <w:rFonts w:ascii="Garamond" w:hAnsi="Garamond"/>
                <w:sz w:val="24"/>
                <w:szCs w:val="24"/>
              </w:rPr>
              <w:t>Is the person afraid to return? Why?</w:t>
            </w:r>
          </w:p>
        </w:tc>
        <w:tc>
          <w:tcPr>
            <w:tcW w:w="34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3BDB8933" w14:textId="77777777" w:rsidR="00E3316C" w:rsidRPr="00102618" w:rsidRDefault="00E3316C">
            <w:pPr>
              <w:rPr>
                <w:rFonts w:ascii="Garamond" w:hAnsi="Garamond"/>
                <w:sz w:val="24"/>
                <w:szCs w:val="24"/>
              </w:rPr>
            </w:pPr>
          </w:p>
        </w:tc>
        <w:tc>
          <w:tcPr>
            <w:tcW w:w="28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702B2B16" w14:textId="77777777" w:rsidR="00E3316C" w:rsidRPr="00102618" w:rsidRDefault="00000000">
            <w:pPr>
              <w:rPr>
                <w:rFonts w:ascii="Garamond" w:hAnsi="Garamond"/>
                <w:sz w:val="24"/>
                <w:szCs w:val="24"/>
              </w:rPr>
            </w:pPr>
            <w:r w:rsidRPr="00102618">
              <w:rPr>
                <w:rFonts w:ascii="Segoe UI Symbol" w:hAnsi="Segoe UI Symbol" w:cs="Segoe UI Symbol"/>
                <w:sz w:val="24"/>
                <w:szCs w:val="24"/>
              </w:rPr>
              <w:t>☐</w:t>
            </w:r>
          </w:p>
        </w:tc>
      </w:tr>
      <w:tr w:rsidR="00E3316C" w:rsidRPr="00102618" w14:paraId="0159AD58" w14:textId="77777777">
        <w:tc>
          <w:tcPr>
            <w:tcW w:w="34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608CD31A" w14:textId="77777777" w:rsidR="00E3316C" w:rsidRPr="00102618" w:rsidRDefault="00000000">
            <w:pPr>
              <w:rPr>
                <w:rFonts w:ascii="Garamond" w:hAnsi="Garamond"/>
                <w:sz w:val="24"/>
                <w:szCs w:val="24"/>
              </w:rPr>
            </w:pPr>
            <w:r w:rsidRPr="00102618">
              <w:rPr>
                <w:rFonts w:ascii="Garamond" w:hAnsi="Garamond"/>
                <w:sz w:val="24"/>
                <w:szCs w:val="24"/>
              </w:rPr>
              <w:t>What person, group, institution, or authority caused the harm or threat?</w:t>
            </w:r>
          </w:p>
        </w:tc>
        <w:tc>
          <w:tcPr>
            <w:tcW w:w="34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158B7ABE" w14:textId="77777777" w:rsidR="00E3316C" w:rsidRPr="00102618" w:rsidRDefault="00E3316C">
            <w:pPr>
              <w:rPr>
                <w:rFonts w:ascii="Garamond" w:hAnsi="Garamond"/>
                <w:sz w:val="24"/>
                <w:szCs w:val="24"/>
              </w:rPr>
            </w:pPr>
          </w:p>
        </w:tc>
        <w:tc>
          <w:tcPr>
            <w:tcW w:w="288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22F08CE3" w14:textId="77777777" w:rsidR="00E3316C" w:rsidRPr="00102618" w:rsidRDefault="00000000">
            <w:pPr>
              <w:rPr>
                <w:rFonts w:ascii="Garamond" w:hAnsi="Garamond"/>
                <w:sz w:val="24"/>
                <w:szCs w:val="24"/>
              </w:rPr>
            </w:pPr>
            <w:r w:rsidRPr="00102618">
              <w:rPr>
                <w:rFonts w:ascii="Segoe UI Symbol" w:hAnsi="Segoe UI Symbol" w:cs="Segoe UI Symbol"/>
                <w:sz w:val="24"/>
                <w:szCs w:val="24"/>
              </w:rPr>
              <w:t>☐</w:t>
            </w:r>
          </w:p>
        </w:tc>
      </w:tr>
      <w:tr w:rsidR="00E3316C" w:rsidRPr="00102618" w14:paraId="1C510BC2" w14:textId="77777777">
        <w:tc>
          <w:tcPr>
            <w:tcW w:w="34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685BCA61" w14:textId="77777777" w:rsidR="00E3316C" w:rsidRPr="00102618" w:rsidRDefault="00000000">
            <w:pPr>
              <w:rPr>
                <w:rFonts w:ascii="Garamond" w:hAnsi="Garamond"/>
                <w:sz w:val="24"/>
                <w:szCs w:val="24"/>
              </w:rPr>
            </w:pPr>
            <w:r w:rsidRPr="00102618">
              <w:rPr>
                <w:rFonts w:ascii="Garamond" w:hAnsi="Garamond"/>
                <w:sz w:val="24"/>
                <w:szCs w:val="24"/>
              </w:rPr>
              <w:t>What protected ground may be involved?</w:t>
            </w:r>
          </w:p>
        </w:tc>
        <w:tc>
          <w:tcPr>
            <w:tcW w:w="34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46FDB09" w14:textId="77777777" w:rsidR="00E3316C" w:rsidRPr="00102618" w:rsidRDefault="00E3316C">
            <w:pPr>
              <w:rPr>
                <w:rFonts w:ascii="Garamond" w:hAnsi="Garamond"/>
                <w:sz w:val="24"/>
                <w:szCs w:val="24"/>
              </w:rPr>
            </w:pPr>
          </w:p>
        </w:tc>
        <w:tc>
          <w:tcPr>
            <w:tcW w:w="28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7232A782" w14:textId="77777777" w:rsidR="00E3316C" w:rsidRPr="00102618" w:rsidRDefault="00000000">
            <w:pPr>
              <w:rPr>
                <w:rFonts w:ascii="Garamond" w:hAnsi="Garamond"/>
                <w:sz w:val="24"/>
                <w:szCs w:val="24"/>
              </w:rPr>
            </w:pPr>
            <w:r w:rsidRPr="00102618">
              <w:rPr>
                <w:rFonts w:ascii="Segoe UI Symbol" w:hAnsi="Segoe UI Symbol" w:cs="Segoe UI Symbol"/>
                <w:sz w:val="24"/>
                <w:szCs w:val="24"/>
              </w:rPr>
              <w:t>☐</w:t>
            </w:r>
          </w:p>
        </w:tc>
      </w:tr>
      <w:tr w:rsidR="00E3316C" w:rsidRPr="00102618" w14:paraId="056BC16C" w14:textId="77777777">
        <w:tc>
          <w:tcPr>
            <w:tcW w:w="34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6C3CC9BF" w14:textId="77777777" w:rsidR="00E3316C" w:rsidRPr="00102618" w:rsidRDefault="00000000">
            <w:pPr>
              <w:rPr>
                <w:rFonts w:ascii="Garamond" w:hAnsi="Garamond"/>
                <w:sz w:val="24"/>
                <w:szCs w:val="24"/>
              </w:rPr>
            </w:pPr>
            <w:r w:rsidRPr="00102618">
              <w:rPr>
                <w:rFonts w:ascii="Garamond" w:hAnsi="Garamond"/>
                <w:sz w:val="24"/>
                <w:szCs w:val="24"/>
              </w:rPr>
              <w:t>What is the broad chronology, even if exact dates are not available?</w:t>
            </w:r>
          </w:p>
        </w:tc>
        <w:tc>
          <w:tcPr>
            <w:tcW w:w="34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73148E08" w14:textId="77777777" w:rsidR="00E3316C" w:rsidRPr="00102618" w:rsidRDefault="00E3316C">
            <w:pPr>
              <w:rPr>
                <w:rFonts w:ascii="Garamond" w:hAnsi="Garamond"/>
                <w:sz w:val="24"/>
                <w:szCs w:val="24"/>
              </w:rPr>
            </w:pPr>
          </w:p>
        </w:tc>
        <w:tc>
          <w:tcPr>
            <w:tcW w:w="288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7699CD74" w14:textId="77777777" w:rsidR="00E3316C" w:rsidRPr="00102618" w:rsidRDefault="00000000">
            <w:pPr>
              <w:rPr>
                <w:rFonts w:ascii="Garamond" w:hAnsi="Garamond"/>
                <w:sz w:val="24"/>
                <w:szCs w:val="24"/>
              </w:rPr>
            </w:pPr>
            <w:r w:rsidRPr="00102618">
              <w:rPr>
                <w:rFonts w:ascii="Segoe UI Symbol" w:hAnsi="Segoe UI Symbol" w:cs="Segoe UI Symbol"/>
                <w:sz w:val="24"/>
                <w:szCs w:val="24"/>
              </w:rPr>
              <w:t>☐</w:t>
            </w:r>
          </w:p>
        </w:tc>
      </w:tr>
      <w:tr w:rsidR="00E3316C" w:rsidRPr="00102618" w14:paraId="578C0412" w14:textId="77777777">
        <w:tc>
          <w:tcPr>
            <w:tcW w:w="34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11E7FD77" w14:textId="77777777" w:rsidR="00E3316C" w:rsidRPr="00102618" w:rsidRDefault="00000000">
            <w:pPr>
              <w:rPr>
                <w:rFonts w:ascii="Garamond" w:hAnsi="Garamond"/>
                <w:sz w:val="24"/>
                <w:szCs w:val="24"/>
              </w:rPr>
            </w:pPr>
            <w:r w:rsidRPr="00102618">
              <w:rPr>
                <w:rFonts w:ascii="Garamond" w:hAnsi="Garamond"/>
                <w:sz w:val="24"/>
                <w:szCs w:val="24"/>
              </w:rPr>
              <w:t>What details appear important but not yet ready for discussion?</w:t>
            </w:r>
          </w:p>
        </w:tc>
        <w:tc>
          <w:tcPr>
            <w:tcW w:w="34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0BF37EAC" w14:textId="77777777" w:rsidR="00E3316C" w:rsidRPr="00102618" w:rsidRDefault="00E3316C">
            <w:pPr>
              <w:rPr>
                <w:rFonts w:ascii="Garamond" w:hAnsi="Garamond"/>
                <w:sz w:val="24"/>
                <w:szCs w:val="24"/>
              </w:rPr>
            </w:pPr>
          </w:p>
        </w:tc>
        <w:tc>
          <w:tcPr>
            <w:tcW w:w="28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174F480E" w14:textId="77777777" w:rsidR="00E3316C" w:rsidRPr="00102618" w:rsidRDefault="00000000">
            <w:pPr>
              <w:rPr>
                <w:rFonts w:ascii="Garamond" w:hAnsi="Garamond"/>
                <w:sz w:val="24"/>
                <w:szCs w:val="24"/>
              </w:rPr>
            </w:pPr>
            <w:r w:rsidRPr="00102618">
              <w:rPr>
                <w:rFonts w:ascii="Segoe UI Symbol" w:hAnsi="Segoe UI Symbol" w:cs="Segoe UI Symbol"/>
                <w:sz w:val="24"/>
                <w:szCs w:val="24"/>
              </w:rPr>
              <w:t>☐</w:t>
            </w:r>
          </w:p>
        </w:tc>
      </w:tr>
      <w:tr w:rsidR="00E3316C" w:rsidRPr="00102618" w14:paraId="1F0B0DA5" w14:textId="77777777">
        <w:tc>
          <w:tcPr>
            <w:tcW w:w="34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31850F37" w14:textId="77777777" w:rsidR="00E3316C" w:rsidRPr="00102618" w:rsidRDefault="00000000">
            <w:pPr>
              <w:rPr>
                <w:rFonts w:ascii="Garamond" w:hAnsi="Garamond"/>
                <w:sz w:val="24"/>
                <w:szCs w:val="24"/>
              </w:rPr>
            </w:pPr>
            <w:r w:rsidRPr="00102618">
              <w:rPr>
                <w:rFonts w:ascii="Garamond" w:hAnsi="Garamond"/>
                <w:sz w:val="24"/>
                <w:szCs w:val="24"/>
              </w:rPr>
              <w:t xml:space="preserve">What does the client already have in writing, if anything (old applications, notes, pro se </w:t>
            </w:r>
            <w:r w:rsidRPr="00102618">
              <w:rPr>
                <w:rFonts w:ascii="Garamond" w:hAnsi="Garamond"/>
                <w:sz w:val="24"/>
                <w:szCs w:val="24"/>
              </w:rPr>
              <w:lastRenderedPageBreak/>
              <w:t>statements, WhatsApp timelines, intake forms)?</w:t>
            </w:r>
          </w:p>
        </w:tc>
        <w:tc>
          <w:tcPr>
            <w:tcW w:w="34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58A5814D" w14:textId="77777777" w:rsidR="00E3316C" w:rsidRPr="00102618" w:rsidRDefault="00E3316C">
            <w:pPr>
              <w:rPr>
                <w:rFonts w:ascii="Garamond" w:hAnsi="Garamond"/>
                <w:sz w:val="24"/>
                <w:szCs w:val="24"/>
              </w:rPr>
            </w:pPr>
          </w:p>
        </w:tc>
        <w:tc>
          <w:tcPr>
            <w:tcW w:w="288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605E5C62" w14:textId="77777777" w:rsidR="00E3316C" w:rsidRPr="00102618" w:rsidRDefault="00000000">
            <w:pPr>
              <w:rPr>
                <w:rFonts w:ascii="Garamond" w:hAnsi="Garamond"/>
                <w:sz w:val="24"/>
                <w:szCs w:val="24"/>
              </w:rPr>
            </w:pPr>
            <w:r w:rsidRPr="00102618">
              <w:rPr>
                <w:rFonts w:ascii="Segoe UI Symbol" w:hAnsi="Segoe UI Symbol" w:cs="Segoe UI Symbol"/>
                <w:sz w:val="24"/>
                <w:szCs w:val="24"/>
              </w:rPr>
              <w:t>☐</w:t>
            </w:r>
          </w:p>
        </w:tc>
      </w:tr>
    </w:tbl>
    <w:p w14:paraId="061737F4" w14:textId="77777777" w:rsidR="00E3316C" w:rsidRPr="00102618" w:rsidRDefault="00E3316C">
      <w:pPr>
        <w:spacing w:before="60" w:after="60"/>
        <w:rPr>
          <w:rFonts w:ascii="Garamond" w:hAnsi="Garamond"/>
          <w:sz w:val="24"/>
          <w:szCs w:val="24"/>
        </w:rPr>
      </w:pPr>
    </w:p>
    <w:p w14:paraId="43CA4A48" w14:textId="77777777" w:rsidR="00E3316C" w:rsidRPr="00E40C5D" w:rsidRDefault="00000000">
      <w:pPr>
        <w:pStyle w:val="Heading3"/>
        <w:rPr>
          <w:rFonts w:ascii="Garamond" w:hAnsi="Garamond"/>
          <w:color w:val="000000" w:themeColor="text1"/>
          <w:sz w:val="24"/>
          <w:szCs w:val="24"/>
        </w:rPr>
      </w:pPr>
      <w:r w:rsidRPr="00E40C5D">
        <w:rPr>
          <w:rFonts w:ascii="Garamond" w:hAnsi="Garamond"/>
          <w:color w:val="000000" w:themeColor="text1"/>
          <w:sz w:val="24"/>
          <w:szCs w:val="24"/>
        </w:rPr>
        <w:t>6B.  Intake-Safe Context Prompts</w:t>
      </w:r>
    </w:p>
    <w:p w14:paraId="4290804D"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Where</w:t>
      </w:r>
      <w:proofErr w:type="gramEnd"/>
      <w:r w:rsidRPr="00E40C5D">
        <w:rPr>
          <w:rFonts w:ascii="Garamond" w:hAnsi="Garamond"/>
          <w:color w:val="000000" w:themeColor="text1"/>
          <w:sz w:val="24"/>
          <w:szCs w:val="24"/>
        </w:rPr>
        <w:t xml:space="preserve"> did you grow up or live, and who was around you?</w:t>
      </w:r>
    </w:p>
    <w:p w14:paraId="3C96E323"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Who</w:t>
      </w:r>
      <w:proofErr w:type="gramEnd"/>
      <w:r w:rsidRPr="00E40C5D">
        <w:rPr>
          <w:rFonts w:ascii="Garamond" w:hAnsi="Garamond"/>
          <w:color w:val="000000" w:themeColor="text1"/>
          <w:sz w:val="24"/>
          <w:szCs w:val="24"/>
        </w:rPr>
        <w:t xml:space="preserve"> was in your household or family at the time?</w:t>
      </w:r>
    </w:p>
    <w:p w14:paraId="03949567"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What</w:t>
      </w:r>
      <w:proofErr w:type="gramEnd"/>
      <w:r w:rsidRPr="00E40C5D">
        <w:rPr>
          <w:rFonts w:ascii="Garamond" w:hAnsi="Garamond"/>
          <w:color w:val="000000" w:themeColor="text1"/>
          <w:sz w:val="24"/>
          <w:szCs w:val="24"/>
        </w:rPr>
        <w:t xml:space="preserve"> was your community like before things changed?</w:t>
      </w:r>
    </w:p>
    <w:p w14:paraId="7634422B"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Were</w:t>
      </w:r>
      <w:proofErr w:type="gramEnd"/>
      <w:r w:rsidRPr="00E40C5D">
        <w:rPr>
          <w:rFonts w:ascii="Garamond" w:hAnsi="Garamond"/>
          <w:color w:val="000000" w:themeColor="text1"/>
          <w:sz w:val="24"/>
          <w:szCs w:val="24"/>
        </w:rPr>
        <w:t xml:space="preserve"> there important political, religious, ethnic, social, or gender-based tensions around you?</w:t>
      </w:r>
    </w:p>
    <w:p w14:paraId="4DDB5CD6"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What</w:t>
      </w:r>
      <w:proofErr w:type="gramEnd"/>
      <w:r w:rsidRPr="00E40C5D">
        <w:rPr>
          <w:rFonts w:ascii="Garamond" w:hAnsi="Garamond"/>
          <w:color w:val="000000" w:themeColor="text1"/>
          <w:sz w:val="24"/>
          <w:szCs w:val="24"/>
        </w:rPr>
        <w:t xml:space="preserve"> made daily life feel safe or unsafe?</w:t>
      </w:r>
    </w:p>
    <w:p w14:paraId="73856943"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If</w:t>
      </w:r>
      <w:proofErr w:type="gramEnd"/>
      <w:r w:rsidRPr="00E40C5D">
        <w:rPr>
          <w:rFonts w:ascii="Garamond" w:hAnsi="Garamond"/>
          <w:color w:val="000000" w:themeColor="text1"/>
          <w:sz w:val="24"/>
          <w:szCs w:val="24"/>
        </w:rPr>
        <w:t xml:space="preserve"> exact dates are hard, what season, school year, holiday, election, conflict, or life event helps anchor the time?</w:t>
      </w:r>
    </w:p>
    <w:p w14:paraId="60242247"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What</w:t>
      </w:r>
      <w:proofErr w:type="gramEnd"/>
      <w:r w:rsidRPr="00E40C5D">
        <w:rPr>
          <w:rFonts w:ascii="Garamond" w:hAnsi="Garamond"/>
          <w:color w:val="000000" w:themeColor="text1"/>
          <w:sz w:val="24"/>
          <w:szCs w:val="24"/>
        </w:rPr>
        <w:t xml:space="preserve"> language or dialect were you using most at the time the important events happened?</w:t>
      </w:r>
    </w:p>
    <w:p w14:paraId="6543F00F" w14:textId="77777777" w:rsidR="00E3316C" w:rsidRPr="00E40C5D" w:rsidRDefault="00E3316C">
      <w:pPr>
        <w:spacing w:before="60" w:after="60"/>
        <w:rPr>
          <w:rFonts w:ascii="Garamond" w:hAnsi="Garamond"/>
          <w:color w:val="000000" w:themeColor="text1"/>
          <w:sz w:val="24"/>
          <w:szCs w:val="24"/>
        </w:rPr>
      </w:pPr>
    </w:p>
    <w:p w14:paraId="7A5D495C" w14:textId="77777777" w:rsidR="00E3316C" w:rsidRPr="00E40C5D" w:rsidRDefault="00000000">
      <w:pPr>
        <w:pStyle w:val="Heading3"/>
        <w:rPr>
          <w:rFonts w:ascii="Garamond" w:hAnsi="Garamond"/>
          <w:color w:val="000000" w:themeColor="text1"/>
          <w:sz w:val="24"/>
          <w:szCs w:val="24"/>
        </w:rPr>
      </w:pPr>
      <w:r w:rsidRPr="00E40C5D">
        <w:rPr>
          <w:rFonts w:ascii="Garamond" w:hAnsi="Garamond"/>
          <w:color w:val="000000" w:themeColor="text1"/>
          <w:sz w:val="24"/>
          <w:szCs w:val="24"/>
        </w:rPr>
        <w:t>6C.  "Possible Hold-Back / Not Ready Yet" Flags</w:t>
      </w:r>
    </w:p>
    <w:p w14:paraId="67D44D6C"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The</w:t>
      </w:r>
      <w:proofErr w:type="gramEnd"/>
      <w:r w:rsidRPr="00E40C5D">
        <w:rPr>
          <w:rFonts w:ascii="Garamond" w:hAnsi="Garamond"/>
          <w:color w:val="000000" w:themeColor="text1"/>
          <w:sz w:val="24"/>
          <w:szCs w:val="24"/>
        </w:rPr>
        <w:t xml:space="preserve"> client becomes vague around one period or event.</w:t>
      </w:r>
    </w:p>
    <w:p w14:paraId="56AB23F1"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The</w:t>
      </w:r>
      <w:proofErr w:type="gramEnd"/>
      <w:r w:rsidRPr="00E40C5D">
        <w:rPr>
          <w:rFonts w:ascii="Garamond" w:hAnsi="Garamond"/>
          <w:color w:val="000000" w:themeColor="text1"/>
          <w:sz w:val="24"/>
          <w:szCs w:val="24"/>
        </w:rPr>
        <w:t xml:space="preserve"> client says, "I cannot talk about that yet," or signals a wish to stop.</w:t>
      </w:r>
    </w:p>
    <w:p w14:paraId="7E8EAA1E"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The</w:t>
      </w:r>
      <w:proofErr w:type="gramEnd"/>
      <w:r w:rsidRPr="00E40C5D">
        <w:rPr>
          <w:rFonts w:ascii="Garamond" w:hAnsi="Garamond"/>
          <w:color w:val="000000" w:themeColor="text1"/>
          <w:sz w:val="24"/>
          <w:szCs w:val="24"/>
        </w:rPr>
        <w:t xml:space="preserve"> client gives only an outline without detail around one topic.</w:t>
      </w:r>
    </w:p>
    <w:p w14:paraId="42212B5F"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The</w:t>
      </w:r>
      <w:proofErr w:type="gramEnd"/>
      <w:r w:rsidRPr="00E40C5D">
        <w:rPr>
          <w:rFonts w:ascii="Garamond" w:hAnsi="Garamond"/>
          <w:color w:val="000000" w:themeColor="text1"/>
          <w:sz w:val="24"/>
          <w:szCs w:val="24"/>
        </w:rPr>
        <w:t xml:space="preserve"> client shows visible distress when approaching one part of the story.</w:t>
      </w:r>
    </w:p>
    <w:p w14:paraId="0D89B9B3"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The</w:t>
      </w:r>
      <w:proofErr w:type="gramEnd"/>
      <w:r w:rsidRPr="00E40C5D">
        <w:rPr>
          <w:rFonts w:ascii="Garamond" w:hAnsi="Garamond"/>
          <w:color w:val="000000" w:themeColor="text1"/>
          <w:sz w:val="24"/>
          <w:szCs w:val="24"/>
        </w:rPr>
        <w:t xml:space="preserve"> client minimizes severity or abruptly changes topic.</w:t>
      </w:r>
    </w:p>
    <w:p w14:paraId="77A5C7DD"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The</w:t>
      </w:r>
      <w:proofErr w:type="gramEnd"/>
      <w:r w:rsidRPr="00E40C5D">
        <w:rPr>
          <w:rFonts w:ascii="Garamond" w:hAnsi="Garamond"/>
          <w:color w:val="000000" w:themeColor="text1"/>
          <w:sz w:val="24"/>
          <w:szCs w:val="24"/>
        </w:rPr>
        <w:t xml:space="preserve"> client mentions a delay, gap, taboo, shame-related issue, or fear of consequences.</w:t>
      </w:r>
    </w:p>
    <w:p w14:paraId="2DF16033"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The</w:t>
      </w:r>
      <w:proofErr w:type="gramEnd"/>
      <w:r w:rsidRPr="00E40C5D">
        <w:rPr>
          <w:rFonts w:ascii="Garamond" w:hAnsi="Garamond"/>
          <w:color w:val="000000" w:themeColor="text1"/>
          <w:sz w:val="24"/>
          <w:szCs w:val="24"/>
        </w:rPr>
        <w:t xml:space="preserve"> client appears confused about the interpreter, the role of the meeting, or the reason a question is being asked.</w:t>
      </w:r>
    </w:p>
    <w:p w14:paraId="20044232" w14:textId="77777777" w:rsidR="00E3316C" w:rsidRPr="00E40C5D" w:rsidRDefault="00E3316C">
      <w:pPr>
        <w:spacing w:before="60" w:after="60"/>
        <w:rPr>
          <w:rFonts w:ascii="Garamond" w:hAnsi="Garamond"/>
          <w:color w:val="000000" w:themeColor="text1"/>
          <w:sz w:val="24"/>
          <w:szCs w:val="24"/>
        </w:rPr>
      </w:pPr>
    </w:p>
    <w:p w14:paraId="5E6C3E72" w14:textId="77777777" w:rsidR="00E3316C" w:rsidRPr="00E40C5D" w:rsidRDefault="00000000">
      <w:pPr>
        <w:pStyle w:val="Heading3"/>
        <w:rPr>
          <w:rFonts w:ascii="Garamond" w:hAnsi="Garamond"/>
          <w:color w:val="000000" w:themeColor="text1"/>
          <w:sz w:val="24"/>
          <w:szCs w:val="24"/>
        </w:rPr>
      </w:pPr>
      <w:r w:rsidRPr="00E40C5D">
        <w:rPr>
          <w:rFonts w:ascii="Garamond" w:hAnsi="Garamond"/>
          <w:color w:val="000000" w:themeColor="text1"/>
          <w:sz w:val="24"/>
          <w:szCs w:val="24"/>
        </w:rPr>
        <w:t>6D.  Immediate Practical Actions Before the Client Leaves</w:t>
      </w:r>
    </w:p>
    <w:p w14:paraId="79A483C9"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Clarify</w:t>
      </w:r>
      <w:proofErr w:type="gramEnd"/>
      <w:r w:rsidRPr="00E40C5D">
        <w:rPr>
          <w:rFonts w:ascii="Garamond" w:hAnsi="Garamond"/>
          <w:color w:val="000000" w:themeColor="text1"/>
          <w:sz w:val="24"/>
          <w:szCs w:val="24"/>
        </w:rPr>
        <w:t xml:space="preserve"> next step and what the next meeting will cover.</w:t>
      </w:r>
    </w:p>
    <w:p w14:paraId="3760B732"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Note</w:t>
      </w:r>
      <w:proofErr w:type="gramEnd"/>
      <w:r w:rsidRPr="00E40C5D">
        <w:rPr>
          <w:rFonts w:ascii="Garamond" w:hAnsi="Garamond"/>
          <w:color w:val="000000" w:themeColor="text1"/>
          <w:sz w:val="24"/>
          <w:szCs w:val="24"/>
        </w:rPr>
        <w:t xml:space="preserve"> what must be collected now (identity document, I-94, old statements, phone screenshots, contact names, etc.).</w:t>
      </w:r>
    </w:p>
    <w:p w14:paraId="1460D8B3"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Confirm</w:t>
      </w:r>
      <w:proofErr w:type="gramEnd"/>
      <w:r w:rsidRPr="00E40C5D">
        <w:rPr>
          <w:rFonts w:ascii="Garamond" w:hAnsi="Garamond"/>
          <w:color w:val="000000" w:themeColor="text1"/>
          <w:sz w:val="24"/>
          <w:szCs w:val="24"/>
        </w:rPr>
        <w:t xml:space="preserve"> whether the client has any immediate safety, housing, medical, or language-access needs.</w:t>
      </w:r>
    </w:p>
    <w:p w14:paraId="62661534"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If</w:t>
      </w:r>
      <w:proofErr w:type="gramEnd"/>
      <w:r w:rsidRPr="00E40C5D">
        <w:rPr>
          <w:rFonts w:ascii="Garamond" w:hAnsi="Garamond"/>
          <w:color w:val="000000" w:themeColor="text1"/>
          <w:sz w:val="24"/>
          <w:szCs w:val="24"/>
        </w:rPr>
        <w:t xml:space="preserve"> </w:t>
      </w:r>
      <w:proofErr w:type="gramStart"/>
      <w:r w:rsidRPr="00E40C5D">
        <w:rPr>
          <w:rFonts w:ascii="Garamond" w:hAnsi="Garamond"/>
          <w:color w:val="000000" w:themeColor="text1"/>
          <w:sz w:val="24"/>
          <w:szCs w:val="24"/>
        </w:rPr>
        <w:t>limited-scope</w:t>
      </w:r>
      <w:proofErr w:type="gramEnd"/>
      <w:r w:rsidRPr="00E40C5D">
        <w:rPr>
          <w:rFonts w:ascii="Garamond" w:hAnsi="Garamond"/>
          <w:color w:val="000000" w:themeColor="text1"/>
          <w:sz w:val="24"/>
          <w:szCs w:val="24"/>
        </w:rPr>
        <w:t>, explain the scope clearly and what this toolkit can and cannot do.</w:t>
      </w:r>
    </w:p>
    <w:p w14:paraId="0148655B" w14:textId="77777777" w:rsidR="00E3316C" w:rsidRPr="00E40C5D" w:rsidRDefault="00000000">
      <w:pPr>
        <w:rPr>
          <w:rFonts w:ascii="Garamond" w:hAnsi="Garamond"/>
          <w:color w:val="000000" w:themeColor="text1"/>
          <w:sz w:val="24"/>
          <w:szCs w:val="24"/>
        </w:rPr>
      </w:pPr>
      <w:r w:rsidRPr="00E40C5D">
        <w:rPr>
          <w:rFonts w:ascii="Garamond" w:hAnsi="Garamond"/>
          <w:color w:val="000000" w:themeColor="text1"/>
          <w:sz w:val="24"/>
          <w:szCs w:val="24"/>
        </w:rPr>
        <w:br w:type="page"/>
      </w:r>
    </w:p>
    <w:p w14:paraId="5164F207" w14:textId="77777777" w:rsidR="00E3316C" w:rsidRPr="00E40C5D" w:rsidRDefault="00000000">
      <w:pPr>
        <w:pStyle w:val="Heading2"/>
        <w:pBdr>
          <w:bottom w:val="single" w:sz="6" w:space="1" w:color="2E75B6"/>
        </w:pBdr>
        <w:rPr>
          <w:rFonts w:ascii="Garamond" w:hAnsi="Garamond"/>
          <w:color w:val="000000" w:themeColor="text1"/>
          <w:sz w:val="24"/>
          <w:szCs w:val="24"/>
        </w:rPr>
      </w:pPr>
      <w:r w:rsidRPr="00E40C5D">
        <w:rPr>
          <w:rFonts w:ascii="Garamond" w:hAnsi="Garamond"/>
          <w:color w:val="000000" w:themeColor="text1"/>
          <w:sz w:val="24"/>
          <w:szCs w:val="24"/>
        </w:rPr>
        <w:lastRenderedPageBreak/>
        <w:t>Section 7. Multi-Meeting Narrative Development Roadmap</w:t>
      </w:r>
    </w:p>
    <w:p w14:paraId="28A5E990" w14:textId="77777777" w:rsidR="00E3316C" w:rsidRPr="00102618" w:rsidRDefault="00000000">
      <w:pPr>
        <w:spacing w:after="120"/>
        <w:rPr>
          <w:rFonts w:ascii="Garamond" w:hAnsi="Garamond"/>
          <w:sz w:val="24"/>
          <w:szCs w:val="24"/>
        </w:rPr>
      </w:pPr>
      <w:r w:rsidRPr="00102618">
        <w:rPr>
          <w:rFonts w:ascii="Garamond" w:hAnsi="Garamond"/>
          <w:sz w:val="24"/>
          <w:szCs w:val="24"/>
        </w:rPr>
        <w:t>The staged roadmap in this section reflects both the trauma and memory literature and practical attorney workflow models used in asylum representation. Research on autobiographical memory under trauma shows that forcing complete narrative extraction in a single session increases the risk of discrepancy, avoidance, and disclosure failure—while staged, trust-based development produces more accurate and legally coherent accounts (Herlihy et al., 2002; American Bar Association Commission on Immigration &amp; HIAS, 2022). The roadmap below provides a structured framework for sequencing narrative development across multiple meetings, with explicit guidance on what to capture, what may wait, and how to adapt to high-caseload or detained-client settings.</w:t>
      </w:r>
    </w:p>
    <w:p w14:paraId="7FFDF148" w14:textId="77777777" w:rsidR="00E3316C" w:rsidRPr="00102618" w:rsidRDefault="00E3316C">
      <w:pPr>
        <w:spacing w:before="60" w:after="60"/>
        <w:rPr>
          <w:rFonts w:ascii="Garamond" w:hAnsi="Garamond"/>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3316C" w:rsidRPr="00102618" w14:paraId="44DA5FC0" w14:textId="77777777">
        <w:tc>
          <w:tcPr>
            <w:tcW w:w="9360" w:type="dxa"/>
            <w:tcBorders>
              <w:top w:val="dashSmallGap" w:sz="4" w:space="0" w:color="375623"/>
              <w:left w:val="dashSmallGap" w:sz="4" w:space="0" w:color="375623"/>
              <w:bottom w:val="dashSmallGap" w:sz="4" w:space="0" w:color="375623"/>
              <w:right w:val="dashSmallGap" w:sz="4" w:space="0" w:color="375623"/>
            </w:tcBorders>
            <w:shd w:val="clear" w:color="auto" w:fill="E2EFDA"/>
            <w:tcMar>
              <w:top w:w="120" w:type="dxa"/>
              <w:left w:w="160" w:type="dxa"/>
              <w:bottom w:w="120" w:type="dxa"/>
              <w:right w:w="160" w:type="dxa"/>
            </w:tcMar>
          </w:tcPr>
          <w:p w14:paraId="4C1E4B4B" w14:textId="7A8D3CEB" w:rsidR="00E3316C" w:rsidRPr="00102618" w:rsidRDefault="00000000">
            <w:pPr>
              <w:rPr>
                <w:rFonts w:ascii="Garamond" w:hAnsi="Garamond"/>
                <w:sz w:val="24"/>
                <w:szCs w:val="24"/>
              </w:rPr>
            </w:pPr>
            <w:r w:rsidRPr="00102618">
              <w:rPr>
                <w:rFonts w:ascii="Segoe UI Symbol" w:hAnsi="Segoe UI Symbol" w:cs="Segoe UI Symbol"/>
                <w:color w:val="375623"/>
                <w:sz w:val="24"/>
                <w:szCs w:val="24"/>
              </w:rPr>
              <w:t>◆</w:t>
            </w:r>
            <w:r w:rsidRPr="00102618">
              <w:rPr>
                <w:rFonts w:ascii="Garamond" w:hAnsi="Garamond"/>
                <w:color w:val="375623"/>
                <w:sz w:val="24"/>
                <w:szCs w:val="24"/>
              </w:rPr>
              <w:t xml:space="preserve"> </w:t>
            </w:r>
            <w:r w:rsidRPr="00102618">
              <w:rPr>
                <w:rFonts w:ascii="Garamond" w:hAnsi="Garamond"/>
                <w:b/>
                <w:bCs/>
                <w:sz w:val="24"/>
                <w:szCs w:val="24"/>
              </w:rPr>
              <w:t>Multi-Meeting Timeline Infographic</w:t>
            </w:r>
            <w:r w:rsidR="00FE3655" w:rsidRPr="00102618">
              <w:rPr>
                <w:rFonts w:ascii="Garamond" w:hAnsi="Garamond"/>
                <w:b/>
                <w:bCs/>
                <w:sz w:val="24"/>
                <w:szCs w:val="24"/>
              </w:rPr>
              <w:t>.  To be created later…</w:t>
            </w:r>
          </w:p>
          <w:p w14:paraId="413B6AEA" w14:textId="77777777" w:rsidR="00E3316C" w:rsidRPr="00102618" w:rsidRDefault="00E3316C">
            <w:pPr>
              <w:spacing w:before="60" w:after="60"/>
              <w:rPr>
                <w:rFonts w:ascii="Garamond" w:hAnsi="Garamond"/>
                <w:sz w:val="24"/>
                <w:szCs w:val="24"/>
              </w:rPr>
            </w:pPr>
          </w:p>
          <w:p w14:paraId="1F8177B7" w14:textId="77777777" w:rsidR="00E3316C" w:rsidRPr="00102618" w:rsidRDefault="00000000">
            <w:pPr>
              <w:rPr>
                <w:rFonts w:ascii="Garamond" w:hAnsi="Garamond"/>
                <w:sz w:val="24"/>
                <w:szCs w:val="24"/>
              </w:rPr>
            </w:pPr>
            <w:r w:rsidRPr="00102618">
              <w:rPr>
                <w:rFonts w:ascii="Garamond" w:hAnsi="Garamond"/>
                <w:i/>
                <w:iCs/>
                <w:sz w:val="24"/>
                <w:szCs w:val="24"/>
              </w:rPr>
              <w:t>A horizontal timeline showing Meetings 1–6 (or Weeks 1–12) with color-coded phases: orientation, context-building, persecution narrative, relocation/barriers, affidavit development, and closure. Each phase shows primary outputs. This replaces the current text table and makes the staged process immediately scannable for practitioners.</w:t>
            </w:r>
          </w:p>
        </w:tc>
      </w:tr>
    </w:tbl>
    <w:p w14:paraId="08983267" w14:textId="77777777" w:rsidR="00E3316C" w:rsidRPr="00102618" w:rsidRDefault="00E3316C">
      <w:pPr>
        <w:spacing w:before="60" w:after="60"/>
        <w:rPr>
          <w:rFonts w:ascii="Garamond" w:hAnsi="Garamond"/>
          <w:sz w:val="24"/>
          <w:szCs w:val="24"/>
        </w:rPr>
      </w:pPr>
    </w:p>
    <w:p w14:paraId="51D2513D" w14:textId="77777777" w:rsidR="00E3316C" w:rsidRPr="00E40C5D" w:rsidRDefault="00000000">
      <w:pPr>
        <w:pStyle w:val="Heading3"/>
        <w:rPr>
          <w:rFonts w:ascii="Garamond" w:hAnsi="Garamond"/>
          <w:color w:val="000000" w:themeColor="text1"/>
          <w:sz w:val="24"/>
          <w:szCs w:val="24"/>
        </w:rPr>
      </w:pPr>
      <w:r w:rsidRPr="00E40C5D">
        <w:rPr>
          <w:rFonts w:ascii="Garamond" w:hAnsi="Garamond"/>
          <w:color w:val="000000" w:themeColor="text1"/>
          <w:sz w:val="24"/>
          <w:szCs w:val="24"/>
        </w:rPr>
        <w:t>7A.  Session-by-Session Roadmap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40"/>
        <w:gridCol w:w="2240"/>
        <w:gridCol w:w="2640"/>
        <w:gridCol w:w="3100"/>
      </w:tblGrid>
      <w:tr w:rsidR="00E3316C" w:rsidRPr="00102618" w14:paraId="5D567995" w14:textId="77777777">
        <w:trPr>
          <w:tblHeader/>
        </w:trPr>
        <w:tc>
          <w:tcPr>
            <w:tcW w:w="174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0C83775E" w14:textId="77777777" w:rsidR="00E3316C" w:rsidRPr="00102618" w:rsidRDefault="00000000">
            <w:pPr>
              <w:rPr>
                <w:rFonts w:ascii="Garamond" w:hAnsi="Garamond"/>
                <w:sz w:val="24"/>
                <w:szCs w:val="24"/>
              </w:rPr>
            </w:pPr>
            <w:r w:rsidRPr="00102618">
              <w:rPr>
                <w:rFonts w:ascii="Garamond" w:hAnsi="Garamond"/>
                <w:b/>
                <w:bCs/>
                <w:color w:val="FFFFFF"/>
                <w:sz w:val="24"/>
                <w:szCs w:val="24"/>
              </w:rPr>
              <w:t>Session</w:t>
            </w:r>
          </w:p>
        </w:tc>
        <w:tc>
          <w:tcPr>
            <w:tcW w:w="224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2A86FB56" w14:textId="77777777" w:rsidR="00E3316C" w:rsidRPr="00102618" w:rsidRDefault="00000000">
            <w:pPr>
              <w:rPr>
                <w:rFonts w:ascii="Garamond" w:hAnsi="Garamond"/>
                <w:sz w:val="24"/>
                <w:szCs w:val="24"/>
              </w:rPr>
            </w:pPr>
            <w:r w:rsidRPr="00102618">
              <w:rPr>
                <w:rFonts w:ascii="Garamond" w:hAnsi="Garamond"/>
                <w:b/>
                <w:bCs/>
                <w:color w:val="FFFFFF"/>
                <w:sz w:val="24"/>
                <w:szCs w:val="24"/>
              </w:rPr>
              <w:t>Primary Focus</w:t>
            </w:r>
          </w:p>
        </w:tc>
        <w:tc>
          <w:tcPr>
            <w:tcW w:w="264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1764CFD6" w14:textId="77777777" w:rsidR="00E3316C" w:rsidRPr="00102618" w:rsidRDefault="00000000">
            <w:pPr>
              <w:rPr>
                <w:rFonts w:ascii="Garamond" w:hAnsi="Garamond"/>
                <w:sz w:val="24"/>
                <w:szCs w:val="24"/>
              </w:rPr>
            </w:pPr>
            <w:r w:rsidRPr="00102618">
              <w:rPr>
                <w:rFonts w:ascii="Garamond" w:hAnsi="Garamond"/>
                <w:b/>
                <w:bCs/>
                <w:color w:val="FFFFFF"/>
                <w:sz w:val="24"/>
                <w:szCs w:val="24"/>
              </w:rPr>
              <w:t>What to Capture</w:t>
            </w:r>
          </w:p>
        </w:tc>
        <w:tc>
          <w:tcPr>
            <w:tcW w:w="31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1186040F" w14:textId="77777777" w:rsidR="00E3316C" w:rsidRPr="00102618" w:rsidRDefault="00000000">
            <w:pPr>
              <w:rPr>
                <w:rFonts w:ascii="Garamond" w:hAnsi="Garamond"/>
                <w:sz w:val="24"/>
                <w:szCs w:val="24"/>
              </w:rPr>
            </w:pPr>
            <w:r w:rsidRPr="00102618">
              <w:rPr>
                <w:rFonts w:ascii="Garamond" w:hAnsi="Garamond"/>
                <w:b/>
                <w:bCs/>
                <w:color w:val="FFFFFF"/>
                <w:sz w:val="24"/>
                <w:szCs w:val="24"/>
              </w:rPr>
              <w:t>What May Wait</w:t>
            </w:r>
          </w:p>
        </w:tc>
      </w:tr>
      <w:tr w:rsidR="00E3316C" w:rsidRPr="00102618" w14:paraId="477C5E1E" w14:textId="77777777">
        <w:tc>
          <w:tcPr>
            <w:tcW w:w="17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9832391" w14:textId="77777777" w:rsidR="00E3316C" w:rsidRPr="00102618" w:rsidRDefault="00000000">
            <w:pPr>
              <w:rPr>
                <w:rFonts w:ascii="Garamond" w:hAnsi="Garamond"/>
                <w:sz w:val="24"/>
                <w:szCs w:val="24"/>
              </w:rPr>
            </w:pPr>
            <w:r w:rsidRPr="00102618">
              <w:rPr>
                <w:rFonts w:ascii="Garamond" w:hAnsi="Garamond"/>
                <w:sz w:val="24"/>
                <w:szCs w:val="24"/>
              </w:rPr>
              <w:t>Meeting 1</w:t>
            </w:r>
          </w:p>
        </w:tc>
        <w:tc>
          <w:tcPr>
            <w:tcW w:w="2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16F854BC" w14:textId="77777777" w:rsidR="00E3316C" w:rsidRPr="00102618" w:rsidRDefault="00000000">
            <w:pPr>
              <w:rPr>
                <w:rFonts w:ascii="Garamond" w:hAnsi="Garamond"/>
                <w:sz w:val="24"/>
                <w:szCs w:val="24"/>
              </w:rPr>
            </w:pPr>
            <w:r w:rsidRPr="00102618">
              <w:rPr>
                <w:rFonts w:ascii="Garamond" w:hAnsi="Garamond"/>
                <w:sz w:val="24"/>
                <w:szCs w:val="24"/>
              </w:rPr>
              <w:t>Orientation + intake triage</w:t>
            </w:r>
          </w:p>
        </w:tc>
        <w:tc>
          <w:tcPr>
            <w:tcW w:w="26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4FD768B8" w14:textId="77777777" w:rsidR="00E3316C" w:rsidRPr="00102618" w:rsidRDefault="00000000">
            <w:pPr>
              <w:rPr>
                <w:rFonts w:ascii="Garamond" w:hAnsi="Garamond"/>
                <w:sz w:val="24"/>
                <w:szCs w:val="24"/>
              </w:rPr>
            </w:pPr>
            <w:r w:rsidRPr="00102618">
              <w:rPr>
                <w:rFonts w:ascii="Garamond" w:hAnsi="Garamond"/>
                <w:sz w:val="24"/>
                <w:szCs w:val="24"/>
              </w:rPr>
              <w:t>Biographical data, broad harm/fear structure, protected-ground hypothesis, context anchors, language-of-encoding, not-ready-yet flags.</w:t>
            </w:r>
          </w:p>
        </w:tc>
        <w:tc>
          <w:tcPr>
            <w:tcW w:w="31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15D92C12" w14:textId="77777777" w:rsidR="00E3316C" w:rsidRPr="00102618" w:rsidRDefault="00000000">
            <w:pPr>
              <w:rPr>
                <w:rFonts w:ascii="Garamond" w:hAnsi="Garamond"/>
                <w:sz w:val="24"/>
                <w:szCs w:val="24"/>
              </w:rPr>
            </w:pPr>
            <w:r w:rsidRPr="00102618">
              <w:rPr>
                <w:rFonts w:ascii="Garamond" w:hAnsi="Garamond"/>
                <w:sz w:val="24"/>
                <w:szCs w:val="24"/>
              </w:rPr>
              <w:t>Detailed trauma narrative, exact chronology under pressure, graphic details.</w:t>
            </w:r>
          </w:p>
        </w:tc>
      </w:tr>
      <w:tr w:rsidR="00E3316C" w:rsidRPr="00102618" w14:paraId="51700B92" w14:textId="77777777">
        <w:tc>
          <w:tcPr>
            <w:tcW w:w="17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09338BDB" w14:textId="77777777" w:rsidR="00E3316C" w:rsidRPr="00102618" w:rsidRDefault="00000000">
            <w:pPr>
              <w:rPr>
                <w:rFonts w:ascii="Garamond" w:hAnsi="Garamond"/>
                <w:sz w:val="24"/>
                <w:szCs w:val="24"/>
              </w:rPr>
            </w:pPr>
            <w:r w:rsidRPr="00102618">
              <w:rPr>
                <w:rFonts w:ascii="Garamond" w:hAnsi="Garamond"/>
                <w:sz w:val="24"/>
                <w:szCs w:val="24"/>
              </w:rPr>
              <w:t>Meeting 2</w:t>
            </w:r>
          </w:p>
        </w:tc>
        <w:tc>
          <w:tcPr>
            <w:tcW w:w="22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1988F3B4" w14:textId="77777777" w:rsidR="00E3316C" w:rsidRPr="00102618" w:rsidRDefault="00000000">
            <w:pPr>
              <w:rPr>
                <w:rFonts w:ascii="Garamond" w:hAnsi="Garamond"/>
                <w:sz w:val="24"/>
                <w:szCs w:val="24"/>
              </w:rPr>
            </w:pPr>
            <w:r w:rsidRPr="00102618">
              <w:rPr>
                <w:rFonts w:ascii="Garamond" w:hAnsi="Garamond"/>
                <w:sz w:val="24"/>
                <w:szCs w:val="24"/>
              </w:rPr>
              <w:t>Context and background</w:t>
            </w:r>
          </w:p>
        </w:tc>
        <w:tc>
          <w:tcPr>
            <w:tcW w:w="26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35F9FB23" w14:textId="77777777" w:rsidR="00E3316C" w:rsidRPr="00102618" w:rsidRDefault="00000000">
            <w:pPr>
              <w:rPr>
                <w:rFonts w:ascii="Garamond" w:hAnsi="Garamond"/>
                <w:sz w:val="24"/>
                <w:szCs w:val="24"/>
              </w:rPr>
            </w:pPr>
            <w:r w:rsidRPr="00102618">
              <w:rPr>
                <w:rFonts w:ascii="Garamond" w:hAnsi="Garamond"/>
                <w:sz w:val="24"/>
                <w:szCs w:val="24"/>
              </w:rPr>
              <w:t>Family, geography, community, roles, beliefs, identity, school/work, what life looked like before things changed.</w:t>
            </w:r>
          </w:p>
        </w:tc>
        <w:tc>
          <w:tcPr>
            <w:tcW w:w="310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522430C6" w14:textId="77777777" w:rsidR="00E3316C" w:rsidRPr="00102618" w:rsidRDefault="00000000">
            <w:pPr>
              <w:rPr>
                <w:rFonts w:ascii="Garamond" w:hAnsi="Garamond"/>
                <w:sz w:val="24"/>
                <w:szCs w:val="24"/>
              </w:rPr>
            </w:pPr>
            <w:r w:rsidRPr="00102618">
              <w:rPr>
                <w:rFonts w:ascii="Garamond" w:hAnsi="Garamond"/>
                <w:sz w:val="24"/>
                <w:szCs w:val="24"/>
              </w:rPr>
              <w:t>Worst-event detail if the client is not ready.</w:t>
            </w:r>
          </w:p>
        </w:tc>
      </w:tr>
      <w:tr w:rsidR="00E3316C" w:rsidRPr="00102618" w14:paraId="57A3448B" w14:textId="77777777">
        <w:tc>
          <w:tcPr>
            <w:tcW w:w="17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278D29B" w14:textId="77777777" w:rsidR="00E3316C" w:rsidRPr="00102618" w:rsidRDefault="00000000">
            <w:pPr>
              <w:rPr>
                <w:rFonts w:ascii="Garamond" w:hAnsi="Garamond"/>
                <w:sz w:val="24"/>
                <w:szCs w:val="24"/>
              </w:rPr>
            </w:pPr>
            <w:r w:rsidRPr="00102618">
              <w:rPr>
                <w:rFonts w:ascii="Garamond" w:hAnsi="Garamond"/>
                <w:sz w:val="24"/>
                <w:szCs w:val="24"/>
              </w:rPr>
              <w:t>Meeting 3</w:t>
            </w:r>
          </w:p>
        </w:tc>
        <w:tc>
          <w:tcPr>
            <w:tcW w:w="2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003453BD" w14:textId="77777777" w:rsidR="00E3316C" w:rsidRPr="00102618" w:rsidRDefault="00000000">
            <w:pPr>
              <w:rPr>
                <w:rFonts w:ascii="Garamond" w:hAnsi="Garamond"/>
                <w:sz w:val="24"/>
                <w:szCs w:val="24"/>
              </w:rPr>
            </w:pPr>
            <w:r w:rsidRPr="00102618">
              <w:rPr>
                <w:rFonts w:ascii="Garamond" w:hAnsi="Garamond"/>
                <w:sz w:val="24"/>
                <w:szCs w:val="24"/>
              </w:rPr>
              <w:t>Core persecution narrative</w:t>
            </w:r>
          </w:p>
        </w:tc>
        <w:tc>
          <w:tcPr>
            <w:tcW w:w="26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727D1B73" w14:textId="77777777" w:rsidR="00E3316C" w:rsidRPr="00102618" w:rsidRDefault="00000000">
            <w:pPr>
              <w:rPr>
                <w:rFonts w:ascii="Garamond" w:hAnsi="Garamond"/>
                <w:sz w:val="24"/>
                <w:szCs w:val="24"/>
              </w:rPr>
            </w:pPr>
            <w:r w:rsidRPr="00102618">
              <w:rPr>
                <w:rFonts w:ascii="Garamond" w:hAnsi="Garamond"/>
                <w:sz w:val="24"/>
                <w:szCs w:val="24"/>
              </w:rPr>
              <w:t>First incident, most significant incident, last incident, what was said, how the client interpreted the threat, immediate aftermath.</w:t>
            </w:r>
          </w:p>
        </w:tc>
        <w:tc>
          <w:tcPr>
            <w:tcW w:w="31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449307E9" w14:textId="77777777" w:rsidR="00E3316C" w:rsidRPr="00102618" w:rsidRDefault="00000000">
            <w:pPr>
              <w:rPr>
                <w:rFonts w:ascii="Garamond" w:hAnsi="Garamond"/>
                <w:sz w:val="24"/>
                <w:szCs w:val="24"/>
              </w:rPr>
            </w:pPr>
            <w:r w:rsidRPr="00102618">
              <w:rPr>
                <w:rFonts w:ascii="Garamond" w:hAnsi="Garamond"/>
                <w:sz w:val="24"/>
                <w:szCs w:val="24"/>
              </w:rPr>
              <w:t>Overly polished declaration language.</w:t>
            </w:r>
          </w:p>
        </w:tc>
      </w:tr>
      <w:tr w:rsidR="00E3316C" w:rsidRPr="00102618" w14:paraId="25E17277" w14:textId="77777777">
        <w:tc>
          <w:tcPr>
            <w:tcW w:w="17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2D896C9A" w14:textId="77777777" w:rsidR="00E3316C" w:rsidRPr="00102618" w:rsidRDefault="00000000">
            <w:pPr>
              <w:rPr>
                <w:rFonts w:ascii="Garamond" w:hAnsi="Garamond"/>
                <w:sz w:val="24"/>
                <w:szCs w:val="24"/>
              </w:rPr>
            </w:pPr>
            <w:r w:rsidRPr="00102618">
              <w:rPr>
                <w:rFonts w:ascii="Garamond" w:hAnsi="Garamond"/>
                <w:sz w:val="24"/>
                <w:szCs w:val="24"/>
              </w:rPr>
              <w:t>Meeting 4</w:t>
            </w:r>
          </w:p>
        </w:tc>
        <w:tc>
          <w:tcPr>
            <w:tcW w:w="22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0C181D33" w14:textId="77777777" w:rsidR="00E3316C" w:rsidRPr="00102618" w:rsidRDefault="00000000">
            <w:pPr>
              <w:rPr>
                <w:rFonts w:ascii="Garamond" w:hAnsi="Garamond"/>
                <w:sz w:val="24"/>
                <w:szCs w:val="24"/>
              </w:rPr>
            </w:pPr>
            <w:r w:rsidRPr="00102618">
              <w:rPr>
                <w:rFonts w:ascii="Garamond" w:hAnsi="Garamond"/>
                <w:sz w:val="24"/>
                <w:szCs w:val="24"/>
              </w:rPr>
              <w:t>Relocation, reporting, flight, and post-event consequences</w:t>
            </w:r>
          </w:p>
        </w:tc>
        <w:tc>
          <w:tcPr>
            <w:tcW w:w="26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1424EB6C" w14:textId="77777777" w:rsidR="00E3316C" w:rsidRPr="00102618" w:rsidRDefault="00000000">
            <w:pPr>
              <w:rPr>
                <w:rFonts w:ascii="Garamond" w:hAnsi="Garamond"/>
                <w:sz w:val="24"/>
                <w:szCs w:val="24"/>
              </w:rPr>
            </w:pPr>
            <w:r w:rsidRPr="00102618">
              <w:rPr>
                <w:rFonts w:ascii="Garamond" w:hAnsi="Garamond"/>
                <w:sz w:val="24"/>
                <w:szCs w:val="24"/>
              </w:rPr>
              <w:t xml:space="preserve">Reporting/no reporting, state protection limits, attempts to relocate, </w:t>
            </w:r>
            <w:r w:rsidRPr="00102618">
              <w:rPr>
                <w:rFonts w:ascii="Garamond" w:hAnsi="Garamond"/>
                <w:sz w:val="24"/>
                <w:szCs w:val="24"/>
              </w:rPr>
              <w:lastRenderedPageBreak/>
              <w:t>barriers to leaving, flight route, current effects.</w:t>
            </w:r>
          </w:p>
        </w:tc>
        <w:tc>
          <w:tcPr>
            <w:tcW w:w="310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6768430F" w14:textId="77777777" w:rsidR="00E3316C" w:rsidRPr="00102618" w:rsidRDefault="00000000">
            <w:pPr>
              <w:rPr>
                <w:rFonts w:ascii="Garamond" w:hAnsi="Garamond"/>
                <w:sz w:val="24"/>
                <w:szCs w:val="24"/>
              </w:rPr>
            </w:pPr>
            <w:r w:rsidRPr="00102618">
              <w:rPr>
                <w:rFonts w:ascii="Garamond" w:hAnsi="Garamond"/>
                <w:sz w:val="24"/>
                <w:szCs w:val="24"/>
              </w:rPr>
              <w:lastRenderedPageBreak/>
              <w:t>Exhibit perfection and final legal theory language.</w:t>
            </w:r>
          </w:p>
        </w:tc>
      </w:tr>
      <w:tr w:rsidR="00E3316C" w:rsidRPr="00102618" w14:paraId="4D68D5CC" w14:textId="77777777">
        <w:tc>
          <w:tcPr>
            <w:tcW w:w="17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4F0F4CE" w14:textId="77777777" w:rsidR="00E3316C" w:rsidRPr="00102618" w:rsidRDefault="00000000">
            <w:pPr>
              <w:rPr>
                <w:rFonts w:ascii="Garamond" w:hAnsi="Garamond"/>
                <w:sz w:val="24"/>
                <w:szCs w:val="24"/>
              </w:rPr>
            </w:pPr>
            <w:r w:rsidRPr="00102618">
              <w:rPr>
                <w:rFonts w:ascii="Garamond" w:hAnsi="Garamond"/>
                <w:sz w:val="24"/>
                <w:szCs w:val="24"/>
              </w:rPr>
              <w:t>Meeting 5</w:t>
            </w:r>
          </w:p>
        </w:tc>
        <w:tc>
          <w:tcPr>
            <w:tcW w:w="2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3AEC57CE" w14:textId="77777777" w:rsidR="00E3316C" w:rsidRPr="00102618" w:rsidRDefault="00000000">
            <w:pPr>
              <w:rPr>
                <w:rFonts w:ascii="Garamond" w:hAnsi="Garamond"/>
                <w:sz w:val="24"/>
                <w:szCs w:val="24"/>
              </w:rPr>
            </w:pPr>
            <w:r w:rsidRPr="00102618">
              <w:rPr>
                <w:rFonts w:ascii="Garamond" w:hAnsi="Garamond"/>
                <w:sz w:val="24"/>
                <w:szCs w:val="24"/>
              </w:rPr>
              <w:t>Affidavit development and evidence planning</w:t>
            </w:r>
          </w:p>
        </w:tc>
        <w:tc>
          <w:tcPr>
            <w:tcW w:w="26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17F152EE" w14:textId="77777777" w:rsidR="00E3316C" w:rsidRPr="00102618" w:rsidRDefault="00000000">
            <w:pPr>
              <w:rPr>
                <w:rFonts w:ascii="Garamond" w:hAnsi="Garamond"/>
                <w:sz w:val="24"/>
                <w:szCs w:val="24"/>
              </w:rPr>
            </w:pPr>
            <w:r w:rsidRPr="00102618">
              <w:rPr>
                <w:rFonts w:ascii="Garamond" w:hAnsi="Garamond"/>
                <w:sz w:val="24"/>
                <w:szCs w:val="24"/>
              </w:rPr>
              <w:t>Declaration structure, holes, transitions, exhibit list, country conditions targets, witness needs, translation needs.</w:t>
            </w:r>
          </w:p>
        </w:tc>
        <w:tc>
          <w:tcPr>
            <w:tcW w:w="31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00726D1" w14:textId="77777777" w:rsidR="00E3316C" w:rsidRPr="00102618" w:rsidRDefault="00000000">
            <w:pPr>
              <w:rPr>
                <w:rFonts w:ascii="Garamond" w:hAnsi="Garamond"/>
                <w:sz w:val="24"/>
                <w:szCs w:val="24"/>
              </w:rPr>
            </w:pPr>
            <w:r w:rsidRPr="00102618">
              <w:rPr>
                <w:rFonts w:ascii="Garamond" w:hAnsi="Garamond"/>
                <w:sz w:val="24"/>
                <w:szCs w:val="24"/>
              </w:rPr>
              <w:t>Fine edits that can wait until the draft exists.</w:t>
            </w:r>
          </w:p>
        </w:tc>
      </w:tr>
      <w:tr w:rsidR="00E3316C" w:rsidRPr="00102618" w14:paraId="6671AC5D" w14:textId="77777777">
        <w:tc>
          <w:tcPr>
            <w:tcW w:w="17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49DEE3F3" w14:textId="77777777" w:rsidR="00E3316C" w:rsidRPr="00102618" w:rsidRDefault="00000000">
            <w:pPr>
              <w:rPr>
                <w:rFonts w:ascii="Garamond" w:hAnsi="Garamond"/>
                <w:sz w:val="24"/>
                <w:szCs w:val="24"/>
              </w:rPr>
            </w:pPr>
            <w:r w:rsidRPr="00102618">
              <w:rPr>
                <w:rFonts w:ascii="Garamond" w:hAnsi="Garamond"/>
                <w:sz w:val="24"/>
                <w:szCs w:val="24"/>
              </w:rPr>
              <w:t>Meeting 6</w:t>
            </w:r>
          </w:p>
        </w:tc>
        <w:tc>
          <w:tcPr>
            <w:tcW w:w="22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06DBD040" w14:textId="77777777" w:rsidR="00E3316C" w:rsidRPr="00102618" w:rsidRDefault="00000000">
            <w:pPr>
              <w:rPr>
                <w:rFonts w:ascii="Garamond" w:hAnsi="Garamond"/>
                <w:sz w:val="24"/>
                <w:szCs w:val="24"/>
              </w:rPr>
            </w:pPr>
            <w:r w:rsidRPr="00102618">
              <w:rPr>
                <w:rFonts w:ascii="Garamond" w:hAnsi="Garamond"/>
                <w:sz w:val="24"/>
                <w:szCs w:val="24"/>
              </w:rPr>
              <w:t>Interview prep and case closure / next steps</w:t>
            </w:r>
          </w:p>
        </w:tc>
        <w:tc>
          <w:tcPr>
            <w:tcW w:w="26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39D0DB1A" w14:textId="77777777" w:rsidR="00E3316C" w:rsidRPr="00102618" w:rsidRDefault="00000000">
            <w:pPr>
              <w:rPr>
                <w:rFonts w:ascii="Garamond" w:hAnsi="Garamond"/>
                <w:sz w:val="24"/>
                <w:szCs w:val="24"/>
              </w:rPr>
            </w:pPr>
            <w:r w:rsidRPr="00102618">
              <w:rPr>
                <w:rFonts w:ascii="Garamond" w:hAnsi="Garamond"/>
                <w:sz w:val="24"/>
                <w:szCs w:val="24"/>
              </w:rPr>
              <w:t>Clarifications, mock questions, interpreter plan, material facts review, copies and pending items, limited-scope disengagement if relevant.</w:t>
            </w:r>
          </w:p>
        </w:tc>
        <w:tc>
          <w:tcPr>
            <w:tcW w:w="310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1C724299" w14:textId="77777777" w:rsidR="00E3316C" w:rsidRPr="00102618" w:rsidRDefault="00000000">
            <w:pPr>
              <w:rPr>
                <w:rFonts w:ascii="Garamond" w:hAnsi="Garamond"/>
                <w:sz w:val="24"/>
                <w:szCs w:val="24"/>
              </w:rPr>
            </w:pPr>
            <w:r w:rsidRPr="00102618">
              <w:rPr>
                <w:rFonts w:ascii="Garamond" w:hAnsi="Garamond"/>
                <w:sz w:val="24"/>
                <w:szCs w:val="24"/>
              </w:rPr>
              <w:t>New trauma extraction unless materially necessary.</w:t>
            </w:r>
          </w:p>
        </w:tc>
      </w:tr>
    </w:tbl>
    <w:p w14:paraId="31EE623F" w14:textId="77777777" w:rsidR="00E3316C" w:rsidRPr="00102618" w:rsidRDefault="00E3316C">
      <w:pPr>
        <w:spacing w:before="60" w:after="60"/>
        <w:rPr>
          <w:rFonts w:ascii="Garamond" w:hAnsi="Garamond"/>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3316C" w:rsidRPr="00102618" w14:paraId="12C259BC" w14:textId="77777777">
        <w:tc>
          <w:tcPr>
            <w:tcW w:w="9360" w:type="dxa"/>
            <w:tcBorders>
              <w:top w:val="single" w:sz="4" w:space="0" w:color="999999"/>
              <w:left w:val="single" w:sz="4" w:space="0" w:color="999999"/>
              <w:bottom w:val="single" w:sz="4" w:space="0" w:color="999999"/>
              <w:right w:val="single" w:sz="4" w:space="0" w:color="999999"/>
            </w:tcBorders>
            <w:shd w:val="clear" w:color="auto" w:fill="F5F5F5"/>
            <w:tcMar>
              <w:top w:w="120" w:type="dxa"/>
              <w:left w:w="160" w:type="dxa"/>
              <w:bottom w:w="120" w:type="dxa"/>
              <w:right w:w="160" w:type="dxa"/>
            </w:tcMar>
          </w:tcPr>
          <w:p w14:paraId="213BEB66" w14:textId="77777777" w:rsidR="00E3316C" w:rsidRPr="00102618" w:rsidRDefault="00000000">
            <w:pPr>
              <w:spacing w:after="120"/>
              <w:rPr>
                <w:rFonts w:ascii="Garamond" w:hAnsi="Garamond"/>
                <w:sz w:val="24"/>
                <w:szCs w:val="24"/>
              </w:rPr>
            </w:pPr>
            <w:r w:rsidRPr="00102618">
              <w:rPr>
                <w:rFonts w:ascii="Garamond" w:hAnsi="Garamond"/>
                <w:b/>
                <w:bCs/>
                <w:sz w:val="24"/>
                <w:szCs w:val="24"/>
              </w:rPr>
              <w:t xml:space="preserve">Development Note:  </w:t>
            </w:r>
            <w:r w:rsidRPr="00102618">
              <w:rPr>
                <w:rFonts w:ascii="Garamond" w:hAnsi="Garamond"/>
                <w:sz w:val="24"/>
                <w:szCs w:val="24"/>
              </w:rPr>
              <w:t>Meeting-specific prompt questions for each session are being developed for the next draft phase and will be added to each row above.</w:t>
            </w:r>
          </w:p>
        </w:tc>
      </w:tr>
    </w:tbl>
    <w:p w14:paraId="44F9452F" w14:textId="77777777" w:rsidR="00E3316C" w:rsidRPr="00102618" w:rsidRDefault="00E3316C">
      <w:pPr>
        <w:spacing w:before="60" w:after="60"/>
        <w:rPr>
          <w:rFonts w:ascii="Garamond" w:hAnsi="Garamond"/>
          <w:sz w:val="24"/>
          <w:szCs w:val="24"/>
        </w:rPr>
      </w:pPr>
    </w:p>
    <w:p w14:paraId="29DFE548" w14:textId="77777777" w:rsidR="00E3316C" w:rsidRPr="00E40C5D" w:rsidRDefault="00000000">
      <w:pPr>
        <w:pStyle w:val="Heading3"/>
        <w:rPr>
          <w:rFonts w:ascii="Garamond" w:hAnsi="Garamond"/>
          <w:color w:val="000000" w:themeColor="text1"/>
          <w:sz w:val="24"/>
          <w:szCs w:val="24"/>
        </w:rPr>
      </w:pPr>
      <w:r w:rsidRPr="00E40C5D">
        <w:rPr>
          <w:rFonts w:ascii="Garamond" w:hAnsi="Garamond"/>
          <w:color w:val="000000" w:themeColor="text1"/>
          <w:sz w:val="24"/>
          <w:szCs w:val="24"/>
        </w:rPr>
        <w:t>7B.  Optional 12-Week Filing Timeline</w:t>
      </w:r>
    </w:p>
    <w:p w14:paraId="0D6BC065" w14:textId="77777777" w:rsidR="00E3316C" w:rsidRPr="00102618" w:rsidRDefault="00000000">
      <w:pPr>
        <w:spacing w:after="120"/>
        <w:rPr>
          <w:rFonts w:ascii="Garamond" w:hAnsi="Garamond"/>
          <w:sz w:val="24"/>
          <w:szCs w:val="24"/>
        </w:rPr>
      </w:pPr>
      <w:r w:rsidRPr="00102618">
        <w:rPr>
          <w:rFonts w:ascii="Garamond" w:hAnsi="Garamond"/>
          <w:sz w:val="24"/>
          <w:szCs w:val="24"/>
        </w:rPr>
        <w:t>This timeline borrows the logic—not the jurisdiction-specific content—of week-by-week asylum workflow models. It is especially useful for pro bono or time-limited representation because it forces sequencing and reduces drift (American Bar Association Commission on Immigration &amp; HIAS, 2022).</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20"/>
        <w:gridCol w:w="3220"/>
        <w:gridCol w:w="3780"/>
      </w:tblGrid>
      <w:tr w:rsidR="00E3316C" w:rsidRPr="00102618" w14:paraId="60A8717B" w14:textId="77777777">
        <w:trPr>
          <w:tblHeader/>
        </w:trPr>
        <w:tc>
          <w:tcPr>
            <w:tcW w:w="27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79C08FDF" w14:textId="77777777" w:rsidR="00E3316C" w:rsidRPr="00102618" w:rsidRDefault="00000000">
            <w:pPr>
              <w:rPr>
                <w:rFonts w:ascii="Garamond" w:hAnsi="Garamond"/>
                <w:sz w:val="24"/>
                <w:szCs w:val="24"/>
              </w:rPr>
            </w:pPr>
            <w:r w:rsidRPr="00102618">
              <w:rPr>
                <w:rFonts w:ascii="Garamond" w:hAnsi="Garamond"/>
                <w:b/>
                <w:bCs/>
                <w:color w:val="FFFFFF"/>
                <w:sz w:val="24"/>
                <w:szCs w:val="24"/>
              </w:rPr>
              <w:t>Week(s)</w:t>
            </w:r>
          </w:p>
        </w:tc>
        <w:tc>
          <w:tcPr>
            <w:tcW w:w="32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6B5C4C27" w14:textId="77777777" w:rsidR="00E3316C" w:rsidRPr="00102618" w:rsidRDefault="00000000">
            <w:pPr>
              <w:rPr>
                <w:rFonts w:ascii="Garamond" w:hAnsi="Garamond"/>
                <w:sz w:val="24"/>
                <w:szCs w:val="24"/>
              </w:rPr>
            </w:pPr>
            <w:r w:rsidRPr="00102618">
              <w:rPr>
                <w:rFonts w:ascii="Garamond" w:hAnsi="Garamond"/>
                <w:b/>
                <w:bCs/>
                <w:color w:val="FFFFFF"/>
                <w:sz w:val="24"/>
                <w:szCs w:val="24"/>
              </w:rPr>
              <w:t>Main Task</w:t>
            </w:r>
          </w:p>
        </w:tc>
        <w:tc>
          <w:tcPr>
            <w:tcW w:w="378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4EE274D2" w14:textId="77777777" w:rsidR="00E3316C" w:rsidRPr="00102618" w:rsidRDefault="00000000">
            <w:pPr>
              <w:rPr>
                <w:rFonts w:ascii="Garamond" w:hAnsi="Garamond"/>
                <w:sz w:val="24"/>
                <w:szCs w:val="24"/>
              </w:rPr>
            </w:pPr>
            <w:r w:rsidRPr="00102618">
              <w:rPr>
                <w:rFonts w:ascii="Garamond" w:hAnsi="Garamond"/>
                <w:b/>
                <w:bCs/>
                <w:color w:val="FFFFFF"/>
                <w:sz w:val="24"/>
                <w:szCs w:val="24"/>
              </w:rPr>
              <w:t>Suggested CIAS Outputs</w:t>
            </w:r>
          </w:p>
        </w:tc>
      </w:tr>
      <w:tr w:rsidR="00E3316C" w:rsidRPr="00102618" w14:paraId="230FDDC3" w14:textId="77777777">
        <w:tc>
          <w:tcPr>
            <w:tcW w:w="27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391669AE" w14:textId="77777777" w:rsidR="00E3316C" w:rsidRPr="00102618" w:rsidRDefault="00000000">
            <w:pPr>
              <w:rPr>
                <w:rFonts w:ascii="Garamond" w:hAnsi="Garamond"/>
                <w:sz w:val="24"/>
                <w:szCs w:val="24"/>
              </w:rPr>
            </w:pPr>
            <w:r w:rsidRPr="00102618">
              <w:rPr>
                <w:rFonts w:ascii="Garamond" w:hAnsi="Garamond"/>
                <w:sz w:val="24"/>
                <w:szCs w:val="24"/>
              </w:rPr>
              <w:t>1–2</w:t>
            </w:r>
          </w:p>
        </w:tc>
        <w:tc>
          <w:tcPr>
            <w:tcW w:w="32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BE10490" w14:textId="77777777" w:rsidR="00E3316C" w:rsidRPr="00102618" w:rsidRDefault="00000000">
            <w:pPr>
              <w:rPr>
                <w:rFonts w:ascii="Garamond" w:hAnsi="Garamond"/>
                <w:sz w:val="24"/>
                <w:szCs w:val="24"/>
              </w:rPr>
            </w:pPr>
            <w:r w:rsidRPr="00102618">
              <w:rPr>
                <w:rFonts w:ascii="Garamond" w:hAnsi="Garamond"/>
                <w:sz w:val="24"/>
                <w:szCs w:val="24"/>
              </w:rPr>
              <w:t>Initial meeting, scope explanation, intake triage, basic application data</w:t>
            </w:r>
          </w:p>
        </w:tc>
        <w:tc>
          <w:tcPr>
            <w:tcW w:w="37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7278E5AC" w14:textId="77777777" w:rsidR="00E3316C" w:rsidRPr="00102618" w:rsidRDefault="00000000">
            <w:pPr>
              <w:rPr>
                <w:rFonts w:ascii="Garamond" w:hAnsi="Garamond"/>
                <w:sz w:val="24"/>
                <w:szCs w:val="24"/>
              </w:rPr>
            </w:pPr>
            <w:r w:rsidRPr="00102618">
              <w:rPr>
                <w:rFonts w:ascii="Garamond" w:hAnsi="Garamond"/>
                <w:sz w:val="24"/>
                <w:szCs w:val="24"/>
              </w:rPr>
              <w:t>Triage screen, broad chronology, not-ready-yet flags, immediate document list.</w:t>
            </w:r>
          </w:p>
        </w:tc>
      </w:tr>
      <w:tr w:rsidR="00E3316C" w:rsidRPr="00102618" w14:paraId="08EE8FEB" w14:textId="77777777">
        <w:tc>
          <w:tcPr>
            <w:tcW w:w="27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32BB596F" w14:textId="77777777" w:rsidR="00E3316C" w:rsidRPr="00102618" w:rsidRDefault="00000000">
            <w:pPr>
              <w:rPr>
                <w:rFonts w:ascii="Garamond" w:hAnsi="Garamond"/>
                <w:sz w:val="24"/>
                <w:szCs w:val="24"/>
              </w:rPr>
            </w:pPr>
            <w:r w:rsidRPr="00102618">
              <w:rPr>
                <w:rFonts w:ascii="Garamond" w:hAnsi="Garamond"/>
                <w:sz w:val="24"/>
                <w:szCs w:val="24"/>
              </w:rPr>
              <w:t>3–4</w:t>
            </w:r>
          </w:p>
        </w:tc>
        <w:tc>
          <w:tcPr>
            <w:tcW w:w="32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5862B7C3" w14:textId="77777777" w:rsidR="00E3316C" w:rsidRPr="00102618" w:rsidRDefault="00000000">
            <w:pPr>
              <w:rPr>
                <w:rFonts w:ascii="Garamond" w:hAnsi="Garamond"/>
                <w:sz w:val="24"/>
                <w:szCs w:val="24"/>
              </w:rPr>
            </w:pPr>
            <w:r w:rsidRPr="00102618">
              <w:rPr>
                <w:rFonts w:ascii="Garamond" w:hAnsi="Garamond"/>
                <w:sz w:val="24"/>
                <w:szCs w:val="24"/>
              </w:rPr>
              <w:t>Context and background building</w:t>
            </w:r>
          </w:p>
        </w:tc>
        <w:tc>
          <w:tcPr>
            <w:tcW w:w="378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5E3095C5" w14:textId="77777777" w:rsidR="00E3316C" w:rsidRPr="00102618" w:rsidRDefault="00000000">
            <w:pPr>
              <w:rPr>
                <w:rFonts w:ascii="Garamond" w:hAnsi="Garamond"/>
                <w:sz w:val="24"/>
                <w:szCs w:val="24"/>
              </w:rPr>
            </w:pPr>
            <w:r w:rsidRPr="00102618">
              <w:rPr>
                <w:rFonts w:ascii="Garamond" w:hAnsi="Garamond"/>
                <w:sz w:val="24"/>
                <w:szCs w:val="24"/>
              </w:rPr>
              <w:t>Context notes by CIAS lens, language-of-encoding note, early nexus hypotheses.</w:t>
            </w:r>
          </w:p>
        </w:tc>
      </w:tr>
      <w:tr w:rsidR="00E3316C" w:rsidRPr="00102618" w14:paraId="3DC32110" w14:textId="77777777">
        <w:tc>
          <w:tcPr>
            <w:tcW w:w="27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4313ECAF" w14:textId="77777777" w:rsidR="00E3316C" w:rsidRPr="00102618" w:rsidRDefault="00000000">
            <w:pPr>
              <w:rPr>
                <w:rFonts w:ascii="Garamond" w:hAnsi="Garamond"/>
                <w:sz w:val="24"/>
                <w:szCs w:val="24"/>
              </w:rPr>
            </w:pPr>
            <w:r w:rsidRPr="00102618">
              <w:rPr>
                <w:rFonts w:ascii="Garamond" w:hAnsi="Garamond"/>
                <w:sz w:val="24"/>
                <w:szCs w:val="24"/>
              </w:rPr>
              <w:t>5–6</w:t>
            </w:r>
          </w:p>
        </w:tc>
        <w:tc>
          <w:tcPr>
            <w:tcW w:w="32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6E6BC5E5" w14:textId="77777777" w:rsidR="00E3316C" w:rsidRPr="00102618" w:rsidRDefault="00000000">
            <w:pPr>
              <w:rPr>
                <w:rFonts w:ascii="Garamond" w:hAnsi="Garamond"/>
                <w:sz w:val="24"/>
                <w:szCs w:val="24"/>
              </w:rPr>
            </w:pPr>
            <w:r w:rsidRPr="00102618">
              <w:rPr>
                <w:rFonts w:ascii="Garamond" w:hAnsi="Garamond"/>
                <w:sz w:val="24"/>
                <w:szCs w:val="24"/>
              </w:rPr>
              <w:t>Persecution narrative development</w:t>
            </w:r>
          </w:p>
        </w:tc>
        <w:tc>
          <w:tcPr>
            <w:tcW w:w="37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3793D79B" w14:textId="77777777" w:rsidR="00E3316C" w:rsidRPr="00102618" w:rsidRDefault="00000000">
            <w:pPr>
              <w:rPr>
                <w:rFonts w:ascii="Garamond" w:hAnsi="Garamond"/>
                <w:sz w:val="24"/>
                <w:szCs w:val="24"/>
              </w:rPr>
            </w:pPr>
            <w:r w:rsidRPr="00102618">
              <w:rPr>
                <w:rFonts w:ascii="Garamond" w:hAnsi="Garamond"/>
                <w:sz w:val="24"/>
                <w:szCs w:val="24"/>
              </w:rPr>
              <w:t>Event notes, chronology anchors, reporting/no-reporting explanation, initial declaration outline.</w:t>
            </w:r>
          </w:p>
        </w:tc>
      </w:tr>
      <w:tr w:rsidR="00E3316C" w:rsidRPr="00102618" w14:paraId="3E48045A" w14:textId="77777777">
        <w:tc>
          <w:tcPr>
            <w:tcW w:w="27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01D82ECB" w14:textId="77777777" w:rsidR="00E3316C" w:rsidRPr="00102618" w:rsidRDefault="00000000">
            <w:pPr>
              <w:rPr>
                <w:rFonts w:ascii="Garamond" w:hAnsi="Garamond"/>
                <w:sz w:val="24"/>
                <w:szCs w:val="24"/>
              </w:rPr>
            </w:pPr>
            <w:r w:rsidRPr="00102618">
              <w:rPr>
                <w:rFonts w:ascii="Garamond" w:hAnsi="Garamond"/>
                <w:sz w:val="24"/>
                <w:szCs w:val="24"/>
              </w:rPr>
              <w:t>7–8</w:t>
            </w:r>
          </w:p>
        </w:tc>
        <w:tc>
          <w:tcPr>
            <w:tcW w:w="32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5D87DC43" w14:textId="77777777" w:rsidR="00E3316C" w:rsidRPr="00102618" w:rsidRDefault="00000000">
            <w:pPr>
              <w:rPr>
                <w:rFonts w:ascii="Garamond" w:hAnsi="Garamond"/>
                <w:sz w:val="24"/>
                <w:szCs w:val="24"/>
              </w:rPr>
            </w:pPr>
            <w:r w:rsidRPr="00102618">
              <w:rPr>
                <w:rFonts w:ascii="Garamond" w:hAnsi="Garamond"/>
                <w:sz w:val="24"/>
                <w:szCs w:val="24"/>
              </w:rPr>
              <w:t>Evidence gathering and country conditions research</w:t>
            </w:r>
          </w:p>
        </w:tc>
        <w:tc>
          <w:tcPr>
            <w:tcW w:w="378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4019F13A" w14:textId="77777777" w:rsidR="00E3316C" w:rsidRPr="00102618" w:rsidRDefault="00000000">
            <w:pPr>
              <w:rPr>
                <w:rFonts w:ascii="Garamond" w:hAnsi="Garamond"/>
                <w:sz w:val="24"/>
                <w:szCs w:val="24"/>
              </w:rPr>
            </w:pPr>
            <w:r w:rsidRPr="00102618">
              <w:rPr>
                <w:rFonts w:ascii="Garamond" w:hAnsi="Garamond"/>
                <w:sz w:val="24"/>
                <w:szCs w:val="24"/>
              </w:rPr>
              <w:t>Exhibit organizer, translation list, corroboration plan.</w:t>
            </w:r>
          </w:p>
        </w:tc>
      </w:tr>
      <w:tr w:rsidR="00E3316C" w:rsidRPr="00102618" w14:paraId="0272FFB1" w14:textId="77777777">
        <w:tc>
          <w:tcPr>
            <w:tcW w:w="27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6BDBD911" w14:textId="77777777" w:rsidR="00E3316C" w:rsidRPr="00102618" w:rsidRDefault="00000000">
            <w:pPr>
              <w:rPr>
                <w:rFonts w:ascii="Garamond" w:hAnsi="Garamond"/>
                <w:sz w:val="24"/>
                <w:szCs w:val="24"/>
              </w:rPr>
            </w:pPr>
            <w:r w:rsidRPr="00102618">
              <w:rPr>
                <w:rFonts w:ascii="Garamond" w:hAnsi="Garamond"/>
                <w:sz w:val="24"/>
                <w:szCs w:val="24"/>
              </w:rPr>
              <w:lastRenderedPageBreak/>
              <w:t>9–10</w:t>
            </w:r>
          </w:p>
        </w:tc>
        <w:tc>
          <w:tcPr>
            <w:tcW w:w="32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6C23625A" w14:textId="77777777" w:rsidR="00E3316C" w:rsidRPr="00102618" w:rsidRDefault="00000000">
            <w:pPr>
              <w:rPr>
                <w:rFonts w:ascii="Garamond" w:hAnsi="Garamond"/>
                <w:sz w:val="24"/>
                <w:szCs w:val="24"/>
              </w:rPr>
            </w:pPr>
            <w:r w:rsidRPr="00102618">
              <w:rPr>
                <w:rFonts w:ascii="Garamond" w:hAnsi="Garamond"/>
                <w:sz w:val="24"/>
                <w:szCs w:val="24"/>
              </w:rPr>
              <w:t>Drafting and review</w:t>
            </w:r>
          </w:p>
        </w:tc>
        <w:tc>
          <w:tcPr>
            <w:tcW w:w="37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480F63B" w14:textId="77777777" w:rsidR="00E3316C" w:rsidRPr="00102618" w:rsidRDefault="00000000">
            <w:pPr>
              <w:rPr>
                <w:rFonts w:ascii="Garamond" w:hAnsi="Garamond"/>
                <w:sz w:val="24"/>
                <w:szCs w:val="24"/>
              </w:rPr>
            </w:pPr>
            <w:r w:rsidRPr="00102618">
              <w:rPr>
                <w:rFonts w:ascii="Garamond" w:hAnsi="Garamond"/>
                <w:sz w:val="24"/>
                <w:szCs w:val="24"/>
              </w:rPr>
              <w:t>Declaration draft, core-vs-peripheral review, holes and transitions checklist.</w:t>
            </w:r>
          </w:p>
        </w:tc>
      </w:tr>
      <w:tr w:rsidR="00E3316C" w:rsidRPr="00102618" w14:paraId="27EC6C65" w14:textId="77777777">
        <w:tc>
          <w:tcPr>
            <w:tcW w:w="27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10C7DD01" w14:textId="77777777" w:rsidR="00E3316C" w:rsidRPr="00102618" w:rsidRDefault="00000000">
            <w:pPr>
              <w:rPr>
                <w:rFonts w:ascii="Garamond" w:hAnsi="Garamond"/>
                <w:sz w:val="24"/>
                <w:szCs w:val="24"/>
              </w:rPr>
            </w:pPr>
            <w:r w:rsidRPr="00102618">
              <w:rPr>
                <w:rFonts w:ascii="Garamond" w:hAnsi="Garamond"/>
                <w:sz w:val="24"/>
                <w:szCs w:val="24"/>
              </w:rPr>
              <w:t>11–12</w:t>
            </w:r>
          </w:p>
        </w:tc>
        <w:tc>
          <w:tcPr>
            <w:tcW w:w="32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5E762F94" w14:textId="77777777" w:rsidR="00E3316C" w:rsidRPr="00102618" w:rsidRDefault="00000000">
            <w:pPr>
              <w:rPr>
                <w:rFonts w:ascii="Garamond" w:hAnsi="Garamond"/>
                <w:sz w:val="24"/>
                <w:szCs w:val="24"/>
              </w:rPr>
            </w:pPr>
            <w:r w:rsidRPr="00102618">
              <w:rPr>
                <w:rFonts w:ascii="Garamond" w:hAnsi="Garamond"/>
                <w:sz w:val="24"/>
                <w:szCs w:val="24"/>
              </w:rPr>
              <w:t>Filing prep, interview prep, and next steps</w:t>
            </w:r>
          </w:p>
        </w:tc>
        <w:tc>
          <w:tcPr>
            <w:tcW w:w="378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770C24CB" w14:textId="77777777" w:rsidR="00E3316C" w:rsidRPr="00102618" w:rsidRDefault="00000000">
            <w:pPr>
              <w:rPr>
                <w:rFonts w:ascii="Garamond" w:hAnsi="Garamond"/>
                <w:sz w:val="24"/>
                <w:szCs w:val="24"/>
              </w:rPr>
            </w:pPr>
            <w:r w:rsidRPr="00102618">
              <w:rPr>
                <w:rFonts w:ascii="Garamond" w:hAnsi="Garamond"/>
                <w:sz w:val="24"/>
                <w:szCs w:val="24"/>
              </w:rPr>
              <w:t>Filing readiness checklist, interview prep checklist, closure/next-steps list.</w:t>
            </w:r>
          </w:p>
        </w:tc>
      </w:tr>
    </w:tbl>
    <w:p w14:paraId="340720B4" w14:textId="77777777" w:rsidR="00E3316C" w:rsidRPr="00102618" w:rsidRDefault="00E3316C">
      <w:pPr>
        <w:spacing w:before="60" w:after="60"/>
        <w:rPr>
          <w:rFonts w:ascii="Garamond" w:hAnsi="Garamond"/>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3316C" w:rsidRPr="00102618" w14:paraId="5E3CCE6C" w14:textId="77777777">
        <w:tc>
          <w:tcPr>
            <w:tcW w:w="9360" w:type="dxa"/>
            <w:tcBorders>
              <w:top w:val="single" w:sz="4" w:space="0" w:color="999999"/>
              <w:left w:val="single" w:sz="4" w:space="0" w:color="999999"/>
              <w:bottom w:val="single" w:sz="4" w:space="0" w:color="999999"/>
              <w:right w:val="single" w:sz="4" w:space="0" w:color="999999"/>
            </w:tcBorders>
            <w:shd w:val="clear" w:color="auto" w:fill="F5F5F5"/>
            <w:tcMar>
              <w:top w:w="120" w:type="dxa"/>
              <w:left w:w="160" w:type="dxa"/>
              <w:bottom w:w="120" w:type="dxa"/>
              <w:right w:w="160" w:type="dxa"/>
            </w:tcMar>
          </w:tcPr>
          <w:p w14:paraId="107E7435" w14:textId="77777777" w:rsidR="00E3316C" w:rsidRPr="00102618" w:rsidRDefault="00000000">
            <w:pPr>
              <w:spacing w:after="120"/>
              <w:rPr>
                <w:rFonts w:ascii="Garamond" w:hAnsi="Garamond"/>
                <w:sz w:val="24"/>
                <w:szCs w:val="24"/>
              </w:rPr>
            </w:pPr>
            <w:r w:rsidRPr="00102618">
              <w:rPr>
                <w:rFonts w:ascii="Garamond" w:hAnsi="Garamond"/>
                <w:b/>
                <w:bCs/>
                <w:sz w:val="24"/>
                <w:szCs w:val="24"/>
              </w:rPr>
              <w:t xml:space="preserve">Development Note:  </w:t>
            </w:r>
            <w:r w:rsidRPr="00102618">
              <w:rPr>
                <w:rFonts w:ascii="Garamond" w:hAnsi="Garamond"/>
                <w:sz w:val="24"/>
                <w:szCs w:val="24"/>
              </w:rPr>
              <w:t>Weekly prompt questions for each phase are being developed for the next draft.</w:t>
            </w:r>
          </w:p>
        </w:tc>
      </w:tr>
    </w:tbl>
    <w:p w14:paraId="5DC7F5C6" w14:textId="77777777" w:rsidR="00E3316C" w:rsidRPr="00102618" w:rsidRDefault="00E3316C">
      <w:pPr>
        <w:spacing w:before="60" w:after="60"/>
        <w:rPr>
          <w:rFonts w:ascii="Garamond" w:hAnsi="Garamond"/>
          <w:sz w:val="24"/>
          <w:szCs w:val="24"/>
        </w:rPr>
      </w:pPr>
    </w:p>
    <w:p w14:paraId="5B2CA663" w14:textId="77777777" w:rsidR="00E3316C" w:rsidRPr="00E40C5D" w:rsidRDefault="00000000">
      <w:pPr>
        <w:pStyle w:val="Heading3"/>
        <w:rPr>
          <w:rFonts w:ascii="Garamond" w:hAnsi="Garamond"/>
          <w:color w:val="000000" w:themeColor="text1"/>
          <w:sz w:val="24"/>
          <w:szCs w:val="24"/>
        </w:rPr>
      </w:pPr>
      <w:r w:rsidRPr="00E40C5D">
        <w:rPr>
          <w:rFonts w:ascii="Garamond" w:hAnsi="Garamond"/>
          <w:color w:val="000000" w:themeColor="text1"/>
          <w:sz w:val="24"/>
          <w:szCs w:val="24"/>
        </w:rPr>
        <w:t>7C.  Detained, High-Caseload, and Team-Based Adaptations</w:t>
      </w:r>
    </w:p>
    <w:p w14:paraId="5AF80EA9" w14:textId="77777777" w:rsidR="00E3316C" w:rsidRPr="00102618" w:rsidRDefault="00000000">
      <w:pPr>
        <w:spacing w:after="120"/>
        <w:rPr>
          <w:rFonts w:ascii="Garamond" w:hAnsi="Garamond"/>
          <w:sz w:val="24"/>
          <w:szCs w:val="24"/>
        </w:rPr>
      </w:pPr>
      <w:r w:rsidRPr="00102618">
        <w:rPr>
          <w:rFonts w:ascii="Garamond" w:hAnsi="Garamond"/>
          <w:sz w:val="24"/>
          <w:szCs w:val="24"/>
        </w:rPr>
        <w:t>The roadmap must also work in detained cases, compressed timelines, and offices where multiple staff members interact with the same client. The following adaptations preserve the core CIAS logic without requiring the full standard sequence.</w:t>
      </w:r>
    </w:p>
    <w:tbl>
      <w:tblPr>
        <w:tblW w:w="999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80"/>
        <w:gridCol w:w="3635"/>
        <w:gridCol w:w="3480"/>
      </w:tblGrid>
      <w:tr w:rsidR="00E3316C" w:rsidRPr="00102618" w14:paraId="7005AFE6" w14:textId="77777777" w:rsidTr="00102618">
        <w:trPr>
          <w:tblHeader/>
        </w:trPr>
        <w:tc>
          <w:tcPr>
            <w:tcW w:w="288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79575C68" w14:textId="77777777" w:rsidR="00E3316C" w:rsidRPr="00102618" w:rsidRDefault="00000000">
            <w:pPr>
              <w:rPr>
                <w:rFonts w:ascii="Garamond" w:hAnsi="Garamond"/>
                <w:sz w:val="24"/>
                <w:szCs w:val="24"/>
              </w:rPr>
            </w:pPr>
            <w:r w:rsidRPr="00102618">
              <w:rPr>
                <w:rFonts w:ascii="Garamond" w:hAnsi="Garamond"/>
                <w:b/>
                <w:bCs/>
                <w:color w:val="FFFFFF"/>
                <w:sz w:val="24"/>
                <w:szCs w:val="24"/>
              </w:rPr>
              <w:t>Setting</w:t>
            </w:r>
          </w:p>
        </w:tc>
        <w:tc>
          <w:tcPr>
            <w:tcW w:w="3635"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2780FB04" w14:textId="77777777" w:rsidR="00E3316C" w:rsidRPr="00102618" w:rsidRDefault="00000000">
            <w:pPr>
              <w:rPr>
                <w:rFonts w:ascii="Garamond" w:hAnsi="Garamond"/>
                <w:sz w:val="24"/>
                <w:szCs w:val="24"/>
              </w:rPr>
            </w:pPr>
            <w:r w:rsidRPr="00102618">
              <w:rPr>
                <w:rFonts w:ascii="Garamond" w:hAnsi="Garamond"/>
                <w:b/>
                <w:bCs/>
                <w:color w:val="FFFFFF"/>
                <w:sz w:val="24"/>
                <w:szCs w:val="24"/>
              </w:rPr>
              <w:t>How to Adapt the Roadmap</w:t>
            </w:r>
          </w:p>
        </w:tc>
        <w:tc>
          <w:tcPr>
            <w:tcW w:w="348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1A2A9E40" w14:textId="77777777" w:rsidR="00E3316C" w:rsidRPr="00102618" w:rsidRDefault="00000000">
            <w:pPr>
              <w:rPr>
                <w:rFonts w:ascii="Garamond" w:hAnsi="Garamond"/>
                <w:sz w:val="24"/>
                <w:szCs w:val="24"/>
              </w:rPr>
            </w:pPr>
            <w:r w:rsidRPr="00102618">
              <w:rPr>
                <w:rFonts w:ascii="Garamond" w:hAnsi="Garamond"/>
                <w:b/>
                <w:bCs/>
                <w:color w:val="FFFFFF"/>
                <w:sz w:val="24"/>
                <w:szCs w:val="24"/>
              </w:rPr>
              <w:t>Non-Negotiables to Preserve</w:t>
            </w:r>
          </w:p>
        </w:tc>
      </w:tr>
      <w:tr w:rsidR="00E3316C" w:rsidRPr="00102618" w14:paraId="68B19561" w14:textId="77777777" w:rsidTr="00102618">
        <w:tc>
          <w:tcPr>
            <w:tcW w:w="28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53A02AB" w14:textId="77777777" w:rsidR="00E3316C" w:rsidRPr="00102618" w:rsidRDefault="00000000">
            <w:pPr>
              <w:rPr>
                <w:rFonts w:ascii="Garamond" w:hAnsi="Garamond"/>
                <w:sz w:val="24"/>
                <w:szCs w:val="24"/>
              </w:rPr>
            </w:pPr>
            <w:r w:rsidRPr="00102618">
              <w:rPr>
                <w:rFonts w:ascii="Garamond" w:hAnsi="Garamond"/>
                <w:sz w:val="24"/>
                <w:szCs w:val="24"/>
              </w:rPr>
              <w:t>Detained / limited meeting access</w:t>
            </w:r>
          </w:p>
        </w:tc>
        <w:tc>
          <w:tcPr>
            <w:tcW w:w="363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3D851431" w14:textId="77777777" w:rsidR="00E3316C" w:rsidRPr="00102618" w:rsidRDefault="00000000">
            <w:pPr>
              <w:rPr>
                <w:rFonts w:ascii="Garamond" w:hAnsi="Garamond"/>
                <w:sz w:val="24"/>
                <w:szCs w:val="24"/>
              </w:rPr>
            </w:pPr>
            <w:r w:rsidRPr="00102618">
              <w:rPr>
                <w:rFonts w:ascii="Garamond" w:hAnsi="Garamond"/>
                <w:sz w:val="24"/>
                <w:szCs w:val="24"/>
              </w:rPr>
              <w:t>Combine orientation and triage quickly, use broad chronology anchors, identify immediate bars/eligibility issues, and flag what cannot safely be fully developed yet.</w:t>
            </w:r>
          </w:p>
        </w:tc>
        <w:tc>
          <w:tcPr>
            <w:tcW w:w="34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35646CE0" w14:textId="77777777" w:rsidR="00E3316C" w:rsidRPr="00102618" w:rsidRDefault="00000000">
            <w:pPr>
              <w:rPr>
                <w:rFonts w:ascii="Garamond" w:hAnsi="Garamond"/>
                <w:sz w:val="24"/>
                <w:szCs w:val="24"/>
              </w:rPr>
            </w:pPr>
            <w:r w:rsidRPr="00102618">
              <w:rPr>
                <w:rFonts w:ascii="Garamond" w:hAnsi="Garamond"/>
                <w:sz w:val="24"/>
                <w:szCs w:val="24"/>
              </w:rPr>
              <w:t>Explain role, record what is not ready, preserve actor / nexus / fear structure, and avoid forcing exact dates.</w:t>
            </w:r>
          </w:p>
        </w:tc>
      </w:tr>
      <w:tr w:rsidR="00E3316C" w:rsidRPr="00102618" w14:paraId="147F99A7" w14:textId="77777777" w:rsidTr="00102618">
        <w:tc>
          <w:tcPr>
            <w:tcW w:w="288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7FBC996E" w14:textId="77777777" w:rsidR="00E3316C" w:rsidRPr="00102618" w:rsidRDefault="00000000">
            <w:pPr>
              <w:rPr>
                <w:rFonts w:ascii="Garamond" w:hAnsi="Garamond"/>
                <w:sz w:val="24"/>
                <w:szCs w:val="24"/>
              </w:rPr>
            </w:pPr>
            <w:r w:rsidRPr="00102618">
              <w:rPr>
                <w:rFonts w:ascii="Garamond" w:hAnsi="Garamond"/>
                <w:sz w:val="24"/>
                <w:szCs w:val="24"/>
              </w:rPr>
              <w:t>High-caseload private or legal-aid settings</w:t>
            </w:r>
          </w:p>
        </w:tc>
        <w:tc>
          <w:tcPr>
            <w:tcW w:w="3635"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01570015" w14:textId="77777777" w:rsidR="00E3316C" w:rsidRPr="00102618" w:rsidRDefault="00000000">
            <w:pPr>
              <w:rPr>
                <w:rFonts w:ascii="Garamond" w:hAnsi="Garamond"/>
                <w:sz w:val="24"/>
                <w:szCs w:val="24"/>
              </w:rPr>
            </w:pPr>
            <w:r w:rsidRPr="00102618">
              <w:rPr>
                <w:rFonts w:ascii="Garamond" w:hAnsi="Garamond"/>
                <w:sz w:val="24"/>
                <w:szCs w:val="24"/>
              </w:rPr>
              <w:t>Use the quick-start page, timeline anchors, and declaration review checklist to avoid improvising. Keep notes disciplined and focused on legal interpretation.</w:t>
            </w:r>
          </w:p>
        </w:tc>
        <w:tc>
          <w:tcPr>
            <w:tcW w:w="348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01AAE77F" w14:textId="77777777" w:rsidR="00E3316C" w:rsidRPr="00102618" w:rsidRDefault="00000000">
            <w:pPr>
              <w:rPr>
                <w:rFonts w:ascii="Garamond" w:hAnsi="Garamond"/>
                <w:sz w:val="24"/>
                <w:szCs w:val="24"/>
              </w:rPr>
            </w:pPr>
            <w:r w:rsidRPr="00102618">
              <w:rPr>
                <w:rFonts w:ascii="Garamond" w:hAnsi="Garamond"/>
                <w:sz w:val="24"/>
                <w:szCs w:val="24"/>
              </w:rPr>
              <w:t>Distinguish core from peripheral details, use neutral delay language, and document interpreter or pacing issues.</w:t>
            </w:r>
          </w:p>
        </w:tc>
      </w:tr>
      <w:tr w:rsidR="00E3316C" w:rsidRPr="00102618" w14:paraId="13D29FCC" w14:textId="77777777" w:rsidTr="00102618">
        <w:tc>
          <w:tcPr>
            <w:tcW w:w="28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7E366893" w14:textId="77777777" w:rsidR="00E3316C" w:rsidRPr="00102618" w:rsidRDefault="00000000">
            <w:pPr>
              <w:rPr>
                <w:rFonts w:ascii="Garamond" w:hAnsi="Garamond"/>
                <w:sz w:val="24"/>
                <w:szCs w:val="24"/>
              </w:rPr>
            </w:pPr>
            <w:r w:rsidRPr="00102618">
              <w:rPr>
                <w:rFonts w:ascii="Garamond" w:hAnsi="Garamond"/>
                <w:sz w:val="24"/>
                <w:szCs w:val="24"/>
              </w:rPr>
              <w:t>Team-based practice (attorney + paralegal + volunteer)</w:t>
            </w:r>
          </w:p>
        </w:tc>
        <w:tc>
          <w:tcPr>
            <w:tcW w:w="363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0856DD35" w14:textId="77777777" w:rsidR="00E3316C" w:rsidRPr="00102618" w:rsidRDefault="00000000">
            <w:pPr>
              <w:rPr>
                <w:rFonts w:ascii="Garamond" w:hAnsi="Garamond"/>
                <w:sz w:val="24"/>
                <w:szCs w:val="24"/>
              </w:rPr>
            </w:pPr>
            <w:r w:rsidRPr="00102618">
              <w:rPr>
                <w:rFonts w:ascii="Garamond" w:hAnsi="Garamond"/>
                <w:sz w:val="24"/>
                <w:szCs w:val="24"/>
              </w:rPr>
              <w:t>Use a shared case log so that later disclosures to one team member are not automatically treated as contradictions. Record who heard the information, in what setting, and with what interpreter.</w:t>
            </w:r>
          </w:p>
        </w:tc>
        <w:tc>
          <w:tcPr>
            <w:tcW w:w="34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0770F779" w14:textId="77777777" w:rsidR="00E3316C" w:rsidRPr="00102618" w:rsidRDefault="00000000">
            <w:pPr>
              <w:rPr>
                <w:rFonts w:ascii="Garamond" w:hAnsi="Garamond"/>
                <w:sz w:val="24"/>
                <w:szCs w:val="24"/>
              </w:rPr>
            </w:pPr>
            <w:r w:rsidRPr="00102618">
              <w:rPr>
                <w:rFonts w:ascii="Garamond" w:hAnsi="Garamond"/>
                <w:sz w:val="24"/>
                <w:szCs w:val="24"/>
              </w:rPr>
              <w:t>Coordinate messaging, explain roles clearly to the client, and review weak spots as a team before finalizing the narrative.</w:t>
            </w:r>
          </w:p>
        </w:tc>
      </w:tr>
    </w:tbl>
    <w:p w14:paraId="1249097D" w14:textId="77777777" w:rsidR="00E3316C" w:rsidRPr="00102618" w:rsidRDefault="00E3316C">
      <w:pPr>
        <w:spacing w:before="60" w:after="60"/>
        <w:rPr>
          <w:rFonts w:ascii="Garamond" w:hAnsi="Garamond"/>
          <w:sz w:val="24"/>
          <w:szCs w:val="24"/>
        </w:rPr>
      </w:pPr>
    </w:p>
    <w:tbl>
      <w:tblPr>
        <w:tblW w:w="10440"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40"/>
      </w:tblGrid>
      <w:tr w:rsidR="00E3316C" w:rsidRPr="00102618" w14:paraId="1DB9FF56" w14:textId="77777777" w:rsidTr="00102618">
        <w:tc>
          <w:tcPr>
            <w:tcW w:w="10440" w:type="dxa"/>
            <w:tcBorders>
              <w:top w:val="single" w:sz="8" w:space="0" w:color="C49A00"/>
              <w:left w:val="single" w:sz="8" w:space="0" w:color="C49A00"/>
              <w:bottom w:val="single" w:sz="8" w:space="0" w:color="C49A00"/>
              <w:right w:val="single" w:sz="8" w:space="0" w:color="C49A00"/>
            </w:tcBorders>
            <w:shd w:val="clear" w:color="auto" w:fill="FFF2CC"/>
            <w:tcMar>
              <w:top w:w="120" w:type="dxa"/>
              <w:left w:w="160" w:type="dxa"/>
              <w:bottom w:w="120" w:type="dxa"/>
              <w:right w:w="160" w:type="dxa"/>
            </w:tcMar>
          </w:tcPr>
          <w:p w14:paraId="16FDB29D" w14:textId="77777777" w:rsidR="00E3316C" w:rsidRPr="00102618" w:rsidRDefault="00000000">
            <w:pPr>
              <w:spacing w:after="120"/>
              <w:rPr>
                <w:rFonts w:ascii="Garamond" w:hAnsi="Garamond"/>
                <w:sz w:val="24"/>
                <w:szCs w:val="24"/>
              </w:rPr>
            </w:pPr>
            <w:proofErr w:type="gramStart"/>
            <w:r w:rsidRPr="00102618">
              <w:rPr>
                <w:rFonts w:ascii="Apple Color Emoji" w:hAnsi="Apple Color Emoji" w:cs="Apple Color Emoji"/>
                <w:b/>
                <w:bCs/>
                <w:sz w:val="24"/>
                <w:szCs w:val="24"/>
              </w:rPr>
              <w:t>⚠</w:t>
            </w:r>
            <w:r w:rsidRPr="00102618">
              <w:rPr>
                <w:rFonts w:ascii="Garamond" w:hAnsi="Garamond"/>
                <w:b/>
                <w:bCs/>
                <w:sz w:val="24"/>
                <w:szCs w:val="24"/>
              </w:rPr>
              <w:t xml:space="preserve">  STOP</w:t>
            </w:r>
            <w:proofErr w:type="gramEnd"/>
            <w:r w:rsidRPr="00102618">
              <w:rPr>
                <w:rFonts w:ascii="Garamond" w:hAnsi="Garamond"/>
                <w:b/>
                <w:bCs/>
                <w:sz w:val="24"/>
                <w:szCs w:val="24"/>
              </w:rPr>
              <w:t xml:space="preserve"> RULE.  </w:t>
            </w:r>
            <w:r w:rsidRPr="00102618">
              <w:rPr>
                <w:rFonts w:ascii="Garamond" w:hAnsi="Garamond"/>
                <w:sz w:val="24"/>
                <w:szCs w:val="24"/>
              </w:rPr>
              <w:t xml:space="preserve">Containment </w:t>
            </w:r>
            <w:proofErr w:type="gramStart"/>
            <w:r w:rsidRPr="00102618">
              <w:rPr>
                <w:rFonts w:ascii="Garamond" w:hAnsi="Garamond"/>
                <w:sz w:val="24"/>
                <w:szCs w:val="24"/>
              </w:rPr>
              <w:t>note</w:t>
            </w:r>
            <w:proofErr w:type="gramEnd"/>
            <w:r w:rsidRPr="00102618">
              <w:rPr>
                <w:rFonts w:ascii="Garamond" w:hAnsi="Garamond"/>
                <w:sz w:val="24"/>
                <w:szCs w:val="24"/>
              </w:rPr>
              <w:t xml:space="preserve"> for high-risk topics. If a topic is flagged as high-risk—sexual violence, torture, childhood abuse, family betrayal, or severe dissociation—plan a slower session, pre-warn the client, build in break points, and keep grounding steps visible. This adapts the practical containment logic emphasized in attorney-facing trauma guidance and trauma-informed care toolkits (American Bar Association Commission on Immigration &amp; HIAS, 2022; U.S. Committee for Refugees and Immigrants, 2021).</w:t>
            </w:r>
          </w:p>
        </w:tc>
      </w:tr>
    </w:tbl>
    <w:p w14:paraId="2DB2C397" w14:textId="77777777" w:rsidR="00E3316C" w:rsidRPr="00E40C5D" w:rsidRDefault="00000000">
      <w:pPr>
        <w:pStyle w:val="Heading2"/>
        <w:pBdr>
          <w:bottom w:val="single" w:sz="6" w:space="1" w:color="2E75B6"/>
        </w:pBdr>
        <w:rPr>
          <w:rFonts w:ascii="Garamond" w:hAnsi="Garamond"/>
          <w:color w:val="000000" w:themeColor="text1"/>
          <w:sz w:val="24"/>
          <w:szCs w:val="24"/>
        </w:rPr>
      </w:pPr>
      <w:r w:rsidRPr="00E40C5D">
        <w:rPr>
          <w:rFonts w:ascii="Garamond" w:hAnsi="Garamond"/>
          <w:color w:val="000000" w:themeColor="text1"/>
          <w:sz w:val="24"/>
          <w:szCs w:val="24"/>
        </w:rPr>
        <w:lastRenderedPageBreak/>
        <w:t>Section 8. Prompt Bank by Interview Stage</w:t>
      </w:r>
    </w:p>
    <w:p w14:paraId="3E0632C0" w14:textId="77777777" w:rsidR="00E3316C" w:rsidRPr="00102618" w:rsidRDefault="00000000">
      <w:pPr>
        <w:spacing w:after="120"/>
        <w:rPr>
          <w:rFonts w:ascii="Garamond" w:hAnsi="Garamond"/>
          <w:sz w:val="24"/>
          <w:szCs w:val="24"/>
        </w:rPr>
      </w:pPr>
      <w:r w:rsidRPr="00102618">
        <w:rPr>
          <w:rFonts w:ascii="Garamond" w:hAnsi="Garamond"/>
          <w:sz w:val="24"/>
          <w:szCs w:val="24"/>
        </w:rPr>
        <w:t xml:space="preserve">Prompt specificity, chronological reach, and emotional tolerability shift across meetings as trust, language context, and case knowledge develop. Using the same questions at every meeting </w:t>
      </w:r>
      <w:proofErr w:type="gramStart"/>
      <w:r w:rsidRPr="00102618">
        <w:rPr>
          <w:rFonts w:ascii="Garamond" w:hAnsi="Garamond"/>
          <w:sz w:val="24"/>
          <w:szCs w:val="24"/>
        </w:rPr>
        <w:t>wastes</w:t>
      </w:r>
      <w:proofErr w:type="gramEnd"/>
      <w:r w:rsidRPr="00102618">
        <w:rPr>
          <w:rFonts w:ascii="Garamond" w:hAnsi="Garamond"/>
          <w:sz w:val="24"/>
          <w:szCs w:val="24"/>
        </w:rPr>
        <w:t xml:space="preserve"> time, overloads clients prematurely, and misses the staged nature of trauma disclosure. This prompt bank is organized by interview stage so that practitioners can draw from the section that matches where they are in the case, rather than improvising under time pressure (Khan et al., 2021; Marian &amp; Neisser, 2000). Each sub-section includes the question, a brief note on its CIAS relevance, and a follow-up flag.</w:t>
      </w:r>
    </w:p>
    <w:p w14:paraId="0ED5C0C0" w14:textId="77777777" w:rsidR="00E3316C" w:rsidRPr="00102618" w:rsidRDefault="00E3316C">
      <w:pPr>
        <w:spacing w:before="60" w:after="60"/>
        <w:rPr>
          <w:rFonts w:ascii="Garamond" w:hAnsi="Garamond"/>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3316C" w:rsidRPr="00102618" w14:paraId="57B88055" w14:textId="77777777">
        <w:tc>
          <w:tcPr>
            <w:tcW w:w="9360" w:type="dxa"/>
            <w:tcBorders>
              <w:top w:val="single" w:sz="4" w:space="0" w:color="999999"/>
              <w:left w:val="single" w:sz="4" w:space="0" w:color="999999"/>
              <w:bottom w:val="single" w:sz="4" w:space="0" w:color="999999"/>
              <w:right w:val="single" w:sz="4" w:space="0" w:color="999999"/>
            </w:tcBorders>
            <w:shd w:val="clear" w:color="auto" w:fill="F5F5F5"/>
            <w:tcMar>
              <w:top w:w="120" w:type="dxa"/>
              <w:left w:w="160" w:type="dxa"/>
              <w:bottom w:w="120" w:type="dxa"/>
              <w:right w:w="160" w:type="dxa"/>
            </w:tcMar>
          </w:tcPr>
          <w:p w14:paraId="395046CA" w14:textId="77777777" w:rsidR="00E3316C" w:rsidRPr="00102618" w:rsidRDefault="00000000">
            <w:pPr>
              <w:spacing w:after="120"/>
              <w:rPr>
                <w:rFonts w:ascii="Garamond" w:hAnsi="Garamond"/>
                <w:sz w:val="24"/>
                <w:szCs w:val="24"/>
              </w:rPr>
            </w:pPr>
            <w:r w:rsidRPr="00102618">
              <w:rPr>
                <w:rFonts w:ascii="Garamond" w:hAnsi="Garamond"/>
                <w:b/>
                <w:bCs/>
                <w:sz w:val="24"/>
                <w:szCs w:val="24"/>
              </w:rPr>
              <w:t xml:space="preserve">Chronology-building rule:  </w:t>
            </w:r>
            <w:r w:rsidRPr="00102618">
              <w:rPr>
                <w:rFonts w:ascii="Garamond" w:hAnsi="Garamond"/>
                <w:sz w:val="24"/>
                <w:szCs w:val="24"/>
              </w:rPr>
              <w:t>Do not force calendar dates when the client cannot reliably produce them. Use contextual anchors instead: weather, season, holiday, school year, election, pregnancy, harvest, route, transfer, or who was in power. This reflects both the trauma literature and attorney practice guidance that warns against date-guessing (American Bar Association Commission on Immigration &amp; HIAS, 2022; Herlihy et al., 2002).</w:t>
            </w:r>
          </w:p>
        </w:tc>
      </w:tr>
    </w:tbl>
    <w:p w14:paraId="5C202B9F" w14:textId="77777777" w:rsidR="00E3316C" w:rsidRPr="00E40C5D" w:rsidRDefault="00E3316C">
      <w:pPr>
        <w:spacing w:before="60" w:after="60"/>
        <w:rPr>
          <w:rFonts w:ascii="Garamond" w:hAnsi="Garamond"/>
          <w:color w:val="000000" w:themeColor="text1"/>
          <w:sz w:val="24"/>
          <w:szCs w:val="24"/>
        </w:rPr>
      </w:pPr>
    </w:p>
    <w:p w14:paraId="59365E6F" w14:textId="77777777" w:rsidR="00E3316C" w:rsidRPr="00E40C5D" w:rsidRDefault="00000000">
      <w:pPr>
        <w:pStyle w:val="Heading3"/>
        <w:rPr>
          <w:rFonts w:ascii="Garamond" w:hAnsi="Garamond"/>
          <w:color w:val="000000" w:themeColor="text1"/>
          <w:sz w:val="24"/>
          <w:szCs w:val="24"/>
        </w:rPr>
      </w:pPr>
      <w:r w:rsidRPr="00E40C5D">
        <w:rPr>
          <w:rFonts w:ascii="Garamond" w:hAnsi="Garamond"/>
          <w:color w:val="000000" w:themeColor="text1"/>
          <w:sz w:val="24"/>
          <w:szCs w:val="24"/>
        </w:rPr>
        <w:t>8A.  Background and Foundation Prompts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20"/>
        <w:gridCol w:w="3320"/>
        <w:gridCol w:w="2880"/>
      </w:tblGrid>
      <w:tr w:rsidR="00E3316C" w:rsidRPr="00102618" w14:paraId="4843083F" w14:textId="77777777">
        <w:trPr>
          <w:tblHeader/>
        </w:trPr>
        <w:tc>
          <w:tcPr>
            <w:tcW w:w="35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15D1A2D7" w14:textId="77777777" w:rsidR="00E3316C" w:rsidRPr="00102618" w:rsidRDefault="00000000">
            <w:pPr>
              <w:rPr>
                <w:rFonts w:ascii="Garamond" w:hAnsi="Garamond"/>
                <w:sz w:val="24"/>
                <w:szCs w:val="24"/>
              </w:rPr>
            </w:pPr>
            <w:r w:rsidRPr="00102618">
              <w:rPr>
                <w:rFonts w:ascii="Garamond" w:hAnsi="Garamond"/>
                <w:b/>
                <w:bCs/>
                <w:color w:val="FFFFFF"/>
                <w:sz w:val="24"/>
                <w:szCs w:val="24"/>
              </w:rPr>
              <w:t>Prompt</w:t>
            </w:r>
          </w:p>
        </w:tc>
        <w:tc>
          <w:tcPr>
            <w:tcW w:w="33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2660D5C5" w14:textId="77777777" w:rsidR="00E3316C" w:rsidRPr="00102618" w:rsidRDefault="00000000">
            <w:pPr>
              <w:rPr>
                <w:rFonts w:ascii="Garamond" w:hAnsi="Garamond"/>
                <w:sz w:val="24"/>
                <w:szCs w:val="24"/>
              </w:rPr>
            </w:pPr>
            <w:r w:rsidRPr="00102618">
              <w:rPr>
                <w:rFonts w:ascii="Garamond" w:hAnsi="Garamond"/>
                <w:b/>
                <w:bCs/>
                <w:color w:val="FFFFFF"/>
                <w:sz w:val="24"/>
                <w:szCs w:val="24"/>
              </w:rPr>
              <w:t>Why It Matters / CIAS Note</w:t>
            </w:r>
          </w:p>
        </w:tc>
        <w:tc>
          <w:tcPr>
            <w:tcW w:w="288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6BF59ADD" w14:textId="77777777" w:rsidR="00E3316C" w:rsidRPr="00102618" w:rsidRDefault="00000000">
            <w:pPr>
              <w:rPr>
                <w:rFonts w:ascii="Garamond" w:hAnsi="Garamond"/>
                <w:sz w:val="24"/>
                <w:szCs w:val="24"/>
              </w:rPr>
            </w:pPr>
            <w:r w:rsidRPr="00102618">
              <w:rPr>
                <w:rFonts w:ascii="Garamond" w:hAnsi="Garamond"/>
                <w:b/>
                <w:bCs/>
                <w:color w:val="FFFFFF"/>
                <w:sz w:val="24"/>
                <w:szCs w:val="24"/>
              </w:rPr>
              <w:t>Follow-Up?</w:t>
            </w:r>
          </w:p>
        </w:tc>
      </w:tr>
      <w:tr w:rsidR="00E3316C" w:rsidRPr="00102618" w14:paraId="4B06D570" w14:textId="77777777">
        <w:tc>
          <w:tcPr>
            <w:tcW w:w="35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4EA02B62" w14:textId="77777777" w:rsidR="00E3316C" w:rsidRPr="00102618" w:rsidRDefault="00000000">
            <w:pPr>
              <w:rPr>
                <w:rFonts w:ascii="Garamond" w:hAnsi="Garamond"/>
                <w:sz w:val="24"/>
                <w:szCs w:val="24"/>
              </w:rPr>
            </w:pPr>
            <w:r w:rsidRPr="00102618">
              <w:rPr>
                <w:rFonts w:ascii="Garamond" w:hAnsi="Garamond"/>
                <w:sz w:val="24"/>
                <w:szCs w:val="24"/>
              </w:rPr>
              <w:t>Tell me about where you grew up and who was around you.</w:t>
            </w:r>
          </w:p>
        </w:tc>
        <w:tc>
          <w:tcPr>
            <w:tcW w:w="33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71AD27EA" w14:textId="77777777" w:rsidR="00E3316C" w:rsidRPr="00102618" w:rsidRDefault="00E3316C">
            <w:pPr>
              <w:rPr>
                <w:rFonts w:ascii="Garamond" w:hAnsi="Garamond"/>
                <w:sz w:val="24"/>
                <w:szCs w:val="24"/>
              </w:rPr>
            </w:pPr>
          </w:p>
        </w:tc>
        <w:tc>
          <w:tcPr>
            <w:tcW w:w="28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1AE129A1" w14:textId="77777777" w:rsidR="00E3316C" w:rsidRPr="00102618" w:rsidRDefault="00000000">
            <w:pPr>
              <w:rPr>
                <w:rFonts w:ascii="Garamond" w:hAnsi="Garamond"/>
                <w:sz w:val="24"/>
                <w:szCs w:val="24"/>
              </w:rPr>
            </w:pPr>
            <w:r w:rsidRPr="00102618">
              <w:rPr>
                <w:rFonts w:ascii="Segoe UI Symbol" w:hAnsi="Segoe UI Symbol" w:cs="Segoe UI Symbol"/>
                <w:sz w:val="24"/>
                <w:szCs w:val="24"/>
              </w:rPr>
              <w:t>☐</w:t>
            </w:r>
          </w:p>
        </w:tc>
      </w:tr>
      <w:tr w:rsidR="00E3316C" w:rsidRPr="00102618" w14:paraId="2E5C6192" w14:textId="77777777">
        <w:tc>
          <w:tcPr>
            <w:tcW w:w="35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6036FC42" w14:textId="77777777" w:rsidR="00E3316C" w:rsidRPr="00102618" w:rsidRDefault="00000000">
            <w:pPr>
              <w:rPr>
                <w:rFonts w:ascii="Garamond" w:hAnsi="Garamond"/>
                <w:sz w:val="24"/>
                <w:szCs w:val="24"/>
              </w:rPr>
            </w:pPr>
            <w:r w:rsidRPr="00102618">
              <w:rPr>
                <w:rFonts w:ascii="Garamond" w:hAnsi="Garamond"/>
                <w:sz w:val="24"/>
                <w:szCs w:val="24"/>
              </w:rPr>
              <w:t>What was normal daily life like before things changed?</w:t>
            </w:r>
          </w:p>
        </w:tc>
        <w:tc>
          <w:tcPr>
            <w:tcW w:w="33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38785043" w14:textId="77777777" w:rsidR="00E3316C" w:rsidRPr="00102618" w:rsidRDefault="00E3316C">
            <w:pPr>
              <w:rPr>
                <w:rFonts w:ascii="Garamond" w:hAnsi="Garamond"/>
                <w:sz w:val="24"/>
                <w:szCs w:val="24"/>
              </w:rPr>
            </w:pPr>
          </w:p>
        </w:tc>
        <w:tc>
          <w:tcPr>
            <w:tcW w:w="288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7AABDD79" w14:textId="77777777" w:rsidR="00E3316C" w:rsidRPr="00102618" w:rsidRDefault="00000000">
            <w:pPr>
              <w:rPr>
                <w:rFonts w:ascii="Garamond" w:hAnsi="Garamond"/>
                <w:sz w:val="24"/>
                <w:szCs w:val="24"/>
              </w:rPr>
            </w:pPr>
            <w:r w:rsidRPr="00102618">
              <w:rPr>
                <w:rFonts w:ascii="Segoe UI Symbol" w:hAnsi="Segoe UI Symbol" w:cs="Segoe UI Symbol"/>
                <w:sz w:val="24"/>
                <w:szCs w:val="24"/>
              </w:rPr>
              <w:t>☐</w:t>
            </w:r>
          </w:p>
        </w:tc>
      </w:tr>
      <w:tr w:rsidR="00E3316C" w:rsidRPr="00102618" w14:paraId="2D65EB25" w14:textId="77777777">
        <w:tc>
          <w:tcPr>
            <w:tcW w:w="35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917E632" w14:textId="77777777" w:rsidR="00E3316C" w:rsidRPr="00102618" w:rsidRDefault="00000000">
            <w:pPr>
              <w:rPr>
                <w:rFonts w:ascii="Garamond" w:hAnsi="Garamond"/>
                <w:sz w:val="24"/>
                <w:szCs w:val="24"/>
              </w:rPr>
            </w:pPr>
            <w:r w:rsidRPr="00102618">
              <w:rPr>
                <w:rFonts w:ascii="Garamond" w:hAnsi="Garamond"/>
                <w:sz w:val="24"/>
                <w:szCs w:val="24"/>
              </w:rPr>
              <w:t>What identities, memberships, beliefs, or roles were important in your community?</w:t>
            </w:r>
          </w:p>
        </w:tc>
        <w:tc>
          <w:tcPr>
            <w:tcW w:w="33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14E6E2EF" w14:textId="77777777" w:rsidR="00E3316C" w:rsidRPr="00102618" w:rsidRDefault="00E3316C">
            <w:pPr>
              <w:rPr>
                <w:rFonts w:ascii="Garamond" w:hAnsi="Garamond"/>
                <w:sz w:val="24"/>
                <w:szCs w:val="24"/>
              </w:rPr>
            </w:pPr>
          </w:p>
        </w:tc>
        <w:tc>
          <w:tcPr>
            <w:tcW w:w="28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789CAB56" w14:textId="77777777" w:rsidR="00E3316C" w:rsidRPr="00102618" w:rsidRDefault="00000000">
            <w:pPr>
              <w:rPr>
                <w:rFonts w:ascii="Garamond" w:hAnsi="Garamond"/>
                <w:sz w:val="24"/>
                <w:szCs w:val="24"/>
              </w:rPr>
            </w:pPr>
            <w:r w:rsidRPr="00102618">
              <w:rPr>
                <w:rFonts w:ascii="Segoe UI Symbol" w:hAnsi="Segoe UI Symbol" w:cs="Segoe UI Symbol"/>
                <w:sz w:val="24"/>
                <w:szCs w:val="24"/>
              </w:rPr>
              <w:t>☐</w:t>
            </w:r>
          </w:p>
        </w:tc>
      </w:tr>
      <w:tr w:rsidR="00E3316C" w:rsidRPr="00102618" w14:paraId="65728802" w14:textId="77777777">
        <w:tc>
          <w:tcPr>
            <w:tcW w:w="35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39FAA94F" w14:textId="77777777" w:rsidR="00E3316C" w:rsidRPr="00102618" w:rsidRDefault="00000000">
            <w:pPr>
              <w:rPr>
                <w:rFonts w:ascii="Garamond" w:hAnsi="Garamond"/>
                <w:sz w:val="24"/>
                <w:szCs w:val="24"/>
              </w:rPr>
            </w:pPr>
            <w:r w:rsidRPr="00102618">
              <w:rPr>
                <w:rFonts w:ascii="Garamond" w:hAnsi="Garamond"/>
                <w:sz w:val="24"/>
                <w:szCs w:val="24"/>
              </w:rPr>
              <w:t>What was considered dangerous, shameful, or risky in your community?</w:t>
            </w:r>
          </w:p>
        </w:tc>
        <w:tc>
          <w:tcPr>
            <w:tcW w:w="33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603DFE62" w14:textId="77777777" w:rsidR="00E3316C" w:rsidRPr="00102618" w:rsidRDefault="00E3316C">
            <w:pPr>
              <w:rPr>
                <w:rFonts w:ascii="Garamond" w:hAnsi="Garamond"/>
                <w:sz w:val="24"/>
                <w:szCs w:val="24"/>
              </w:rPr>
            </w:pPr>
          </w:p>
        </w:tc>
        <w:tc>
          <w:tcPr>
            <w:tcW w:w="288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4554E8C4" w14:textId="77777777" w:rsidR="00E3316C" w:rsidRPr="00102618" w:rsidRDefault="00000000">
            <w:pPr>
              <w:rPr>
                <w:rFonts w:ascii="Garamond" w:hAnsi="Garamond"/>
                <w:sz w:val="24"/>
                <w:szCs w:val="24"/>
              </w:rPr>
            </w:pPr>
            <w:r w:rsidRPr="00102618">
              <w:rPr>
                <w:rFonts w:ascii="Segoe UI Symbol" w:hAnsi="Segoe UI Symbol" w:cs="Segoe UI Symbol"/>
                <w:sz w:val="24"/>
                <w:szCs w:val="24"/>
              </w:rPr>
              <w:t>☐</w:t>
            </w:r>
          </w:p>
        </w:tc>
      </w:tr>
      <w:tr w:rsidR="00E3316C" w:rsidRPr="00102618" w14:paraId="1C0952FF" w14:textId="77777777">
        <w:tc>
          <w:tcPr>
            <w:tcW w:w="35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75D8A8A3" w14:textId="77777777" w:rsidR="00E3316C" w:rsidRPr="00102618" w:rsidRDefault="00000000">
            <w:pPr>
              <w:rPr>
                <w:rFonts w:ascii="Garamond" w:hAnsi="Garamond"/>
                <w:sz w:val="24"/>
                <w:szCs w:val="24"/>
              </w:rPr>
            </w:pPr>
            <w:r w:rsidRPr="00102618">
              <w:rPr>
                <w:rFonts w:ascii="Garamond" w:hAnsi="Garamond"/>
                <w:sz w:val="24"/>
                <w:szCs w:val="24"/>
              </w:rPr>
              <w:t>Who were the people you trusted most then?</w:t>
            </w:r>
          </w:p>
        </w:tc>
        <w:tc>
          <w:tcPr>
            <w:tcW w:w="33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13CA7558" w14:textId="77777777" w:rsidR="00E3316C" w:rsidRPr="00102618" w:rsidRDefault="00E3316C">
            <w:pPr>
              <w:rPr>
                <w:rFonts w:ascii="Garamond" w:hAnsi="Garamond"/>
                <w:sz w:val="24"/>
                <w:szCs w:val="24"/>
              </w:rPr>
            </w:pPr>
          </w:p>
        </w:tc>
        <w:tc>
          <w:tcPr>
            <w:tcW w:w="28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9047BAC" w14:textId="77777777" w:rsidR="00E3316C" w:rsidRPr="00102618" w:rsidRDefault="00000000">
            <w:pPr>
              <w:rPr>
                <w:rFonts w:ascii="Garamond" w:hAnsi="Garamond"/>
                <w:sz w:val="24"/>
                <w:szCs w:val="24"/>
              </w:rPr>
            </w:pPr>
            <w:r w:rsidRPr="00102618">
              <w:rPr>
                <w:rFonts w:ascii="Segoe UI Symbol" w:hAnsi="Segoe UI Symbol" w:cs="Segoe UI Symbol"/>
                <w:sz w:val="24"/>
                <w:szCs w:val="24"/>
              </w:rPr>
              <w:t>☐</w:t>
            </w:r>
          </w:p>
        </w:tc>
      </w:tr>
      <w:tr w:rsidR="00E3316C" w:rsidRPr="00102618" w14:paraId="6381AF8A" w14:textId="77777777">
        <w:tc>
          <w:tcPr>
            <w:tcW w:w="35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2CC1CE7D" w14:textId="77777777" w:rsidR="00E3316C" w:rsidRPr="00102618" w:rsidRDefault="00000000">
            <w:pPr>
              <w:rPr>
                <w:rFonts w:ascii="Garamond" w:hAnsi="Garamond"/>
                <w:sz w:val="24"/>
                <w:szCs w:val="24"/>
              </w:rPr>
            </w:pPr>
            <w:r w:rsidRPr="00102618">
              <w:rPr>
                <w:rFonts w:ascii="Garamond" w:hAnsi="Garamond"/>
                <w:sz w:val="24"/>
                <w:szCs w:val="24"/>
              </w:rPr>
              <w:t>What language or dialect did you use most in daily life?</w:t>
            </w:r>
          </w:p>
        </w:tc>
        <w:tc>
          <w:tcPr>
            <w:tcW w:w="33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221B60B0" w14:textId="77777777" w:rsidR="00E3316C" w:rsidRPr="00102618" w:rsidRDefault="00E3316C">
            <w:pPr>
              <w:rPr>
                <w:rFonts w:ascii="Garamond" w:hAnsi="Garamond"/>
                <w:sz w:val="24"/>
                <w:szCs w:val="24"/>
              </w:rPr>
            </w:pPr>
          </w:p>
        </w:tc>
        <w:tc>
          <w:tcPr>
            <w:tcW w:w="288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0F58FA29" w14:textId="77777777" w:rsidR="00E3316C" w:rsidRPr="00102618" w:rsidRDefault="00000000">
            <w:pPr>
              <w:rPr>
                <w:rFonts w:ascii="Garamond" w:hAnsi="Garamond"/>
                <w:sz w:val="24"/>
                <w:szCs w:val="24"/>
              </w:rPr>
            </w:pPr>
            <w:r w:rsidRPr="00102618">
              <w:rPr>
                <w:rFonts w:ascii="Segoe UI Symbol" w:hAnsi="Segoe UI Symbol" w:cs="Segoe UI Symbol"/>
                <w:sz w:val="24"/>
                <w:szCs w:val="24"/>
              </w:rPr>
              <w:t>☐</w:t>
            </w:r>
          </w:p>
        </w:tc>
      </w:tr>
    </w:tbl>
    <w:p w14:paraId="01382744" w14:textId="77777777" w:rsidR="00E3316C" w:rsidRDefault="00E3316C">
      <w:pPr>
        <w:spacing w:before="60" w:after="60"/>
        <w:rPr>
          <w:rFonts w:ascii="Garamond" w:hAnsi="Garamond"/>
          <w:sz w:val="24"/>
          <w:szCs w:val="24"/>
        </w:rPr>
      </w:pPr>
    </w:p>
    <w:p w14:paraId="1442A6DD" w14:textId="77777777" w:rsidR="00102618" w:rsidRDefault="00102618">
      <w:pPr>
        <w:spacing w:before="60" w:after="60"/>
        <w:rPr>
          <w:rFonts w:ascii="Garamond" w:hAnsi="Garamond"/>
          <w:sz w:val="24"/>
          <w:szCs w:val="24"/>
        </w:rPr>
      </w:pPr>
    </w:p>
    <w:p w14:paraId="40B4169F" w14:textId="77777777" w:rsidR="00102618" w:rsidRDefault="00102618">
      <w:pPr>
        <w:spacing w:before="60" w:after="60"/>
        <w:rPr>
          <w:rFonts w:ascii="Garamond" w:hAnsi="Garamond"/>
          <w:sz w:val="24"/>
          <w:szCs w:val="24"/>
        </w:rPr>
      </w:pPr>
    </w:p>
    <w:p w14:paraId="14A2A64D" w14:textId="77777777" w:rsidR="00102618" w:rsidRDefault="00102618">
      <w:pPr>
        <w:spacing w:before="60" w:after="60"/>
        <w:rPr>
          <w:rFonts w:ascii="Garamond" w:hAnsi="Garamond"/>
          <w:sz w:val="24"/>
          <w:szCs w:val="24"/>
        </w:rPr>
      </w:pPr>
    </w:p>
    <w:p w14:paraId="3072D2F9" w14:textId="77777777" w:rsidR="00102618" w:rsidRDefault="00102618">
      <w:pPr>
        <w:spacing w:before="60" w:after="60"/>
        <w:rPr>
          <w:rFonts w:ascii="Garamond" w:hAnsi="Garamond"/>
          <w:sz w:val="24"/>
          <w:szCs w:val="24"/>
        </w:rPr>
      </w:pPr>
    </w:p>
    <w:p w14:paraId="6ABE84CA" w14:textId="77777777" w:rsidR="00102618" w:rsidRPr="00102618" w:rsidRDefault="00102618">
      <w:pPr>
        <w:spacing w:before="60" w:after="60"/>
        <w:rPr>
          <w:rFonts w:ascii="Garamond" w:hAnsi="Garamond"/>
          <w:sz w:val="24"/>
          <w:szCs w:val="24"/>
        </w:rPr>
      </w:pPr>
    </w:p>
    <w:p w14:paraId="6246FEEB" w14:textId="77777777" w:rsidR="00E3316C" w:rsidRPr="00E40C5D" w:rsidRDefault="00000000">
      <w:pPr>
        <w:pStyle w:val="Heading3"/>
        <w:rPr>
          <w:rFonts w:ascii="Garamond" w:hAnsi="Garamond"/>
          <w:color w:val="000000" w:themeColor="text1"/>
          <w:sz w:val="24"/>
          <w:szCs w:val="24"/>
        </w:rPr>
      </w:pPr>
      <w:r w:rsidRPr="00E40C5D">
        <w:rPr>
          <w:rFonts w:ascii="Garamond" w:hAnsi="Garamond"/>
          <w:color w:val="000000" w:themeColor="text1"/>
          <w:sz w:val="24"/>
          <w:szCs w:val="24"/>
        </w:rPr>
        <w:lastRenderedPageBreak/>
        <w:t>8B.  Persecution Event Prompts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20"/>
        <w:gridCol w:w="3320"/>
        <w:gridCol w:w="2880"/>
      </w:tblGrid>
      <w:tr w:rsidR="00E3316C" w:rsidRPr="00102618" w14:paraId="09F1EF75" w14:textId="77777777">
        <w:trPr>
          <w:tblHeader/>
        </w:trPr>
        <w:tc>
          <w:tcPr>
            <w:tcW w:w="35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58AE6572" w14:textId="77777777" w:rsidR="00E3316C" w:rsidRPr="00102618" w:rsidRDefault="00000000">
            <w:pPr>
              <w:rPr>
                <w:rFonts w:ascii="Garamond" w:hAnsi="Garamond"/>
                <w:sz w:val="24"/>
                <w:szCs w:val="24"/>
              </w:rPr>
            </w:pPr>
            <w:r w:rsidRPr="00102618">
              <w:rPr>
                <w:rFonts w:ascii="Garamond" w:hAnsi="Garamond"/>
                <w:b/>
                <w:bCs/>
                <w:color w:val="FFFFFF"/>
                <w:sz w:val="24"/>
                <w:szCs w:val="24"/>
              </w:rPr>
              <w:t>Prompt</w:t>
            </w:r>
          </w:p>
        </w:tc>
        <w:tc>
          <w:tcPr>
            <w:tcW w:w="33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3576B72F" w14:textId="77777777" w:rsidR="00E3316C" w:rsidRPr="00102618" w:rsidRDefault="00000000">
            <w:pPr>
              <w:rPr>
                <w:rFonts w:ascii="Garamond" w:hAnsi="Garamond"/>
                <w:sz w:val="24"/>
                <w:szCs w:val="24"/>
              </w:rPr>
            </w:pPr>
            <w:r w:rsidRPr="00102618">
              <w:rPr>
                <w:rFonts w:ascii="Garamond" w:hAnsi="Garamond"/>
                <w:b/>
                <w:bCs/>
                <w:color w:val="FFFFFF"/>
                <w:sz w:val="24"/>
                <w:szCs w:val="24"/>
              </w:rPr>
              <w:t>Why It Matters / CIAS Note</w:t>
            </w:r>
          </w:p>
        </w:tc>
        <w:tc>
          <w:tcPr>
            <w:tcW w:w="288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265E47B7" w14:textId="77777777" w:rsidR="00E3316C" w:rsidRPr="00102618" w:rsidRDefault="00000000">
            <w:pPr>
              <w:rPr>
                <w:rFonts w:ascii="Garamond" w:hAnsi="Garamond"/>
                <w:sz w:val="24"/>
                <w:szCs w:val="24"/>
              </w:rPr>
            </w:pPr>
            <w:r w:rsidRPr="00102618">
              <w:rPr>
                <w:rFonts w:ascii="Garamond" w:hAnsi="Garamond"/>
                <w:b/>
                <w:bCs/>
                <w:color w:val="FFFFFF"/>
                <w:sz w:val="24"/>
                <w:szCs w:val="24"/>
              </w:rPr>
              <w:t>Follow-Up?</w:t>
            </w:r>
          </w:p>
        </w:tc>
      </w:tr>
      <w:tr w:rsidR="00E3316C" w:rsidRPr="00102618" w14:paraId="73302DDB" w14:textId="77777777">
        <w:tc>
          <w:tcPr>
            <w:tcW w:w="35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17C02EB" w14:textId="77777777" w:rsidR="00E3316C" w:rsidRPr="00102618" w:rsidRDefault="00000000">
            <w:pPr>
              <w:rPr>
                <w:rFonts w:ascii="Garamond" w:hAnsi="Garamond"/>
                <w:sz w:val="24"/>
                <w:szCs w:val="24"/>
              </w:rPr>
            </w:pPr>
            <w:r w:rsidRPr="00102618">
              <w:rPr>
                <w:rFonts w:ascii="Garamond" w:hAnsi="Garamond"/>
                <w:sz w:val="24"/>
                <w:szCs w:val="24"/>
              </w:rPr>
              <w:t>Can you walk me through what happened, one step at a time, in the way that feels most manageable?</w:t>
            </w:r>
          </w:p>
        </w:tc>
        <w:tc>
          <w:tcPr>
            <w:tcW w:w="33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D88B9AE" w14:textId="77777777" w:rsidR="00E3316C" w:rsidRPr="00102618" w:rsidRDefault="00E3316C">
            <w:pPr>
              <w:rPr>
                <w:rFonts w:ascii="Garamond" w:hAnsi="Garamond"/>
                <w:sz w:val="24"/>
                <w:szCs w:val="24"/>
              </w:rPr>
            </w:pPr>
          </w:p>
        </w:tc>
        <w:tc>
          <w:tcPr>
            <w:tcW w:w="28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7148068C" w14:textId="77777777" w:rsidR="00E3316C" w:rsidRPr="00102618" w:rsidRDefault="00000000">
            <w:pPr>
              <w:rPr>
                <w:rFonts w:ascii="Garamond" w:hAnsi="Garamond"/>
                <w:sz w:val="24"/>
                <w:szCs w:val="24"/>
              </w:rPr>
            </w:pPr>
            <w:r w:rsidRPr="00102618">
              <w:rPr>
                <w:rFonts w:ascii="Segoe UI Symbol" w:hAnsi="Segoe UI Symbol" w:cs="Segoe UI Symbol"/>
                <w:sz w:val="24"/>
                <w:szCs w:val="24"/>
              </w:rPr>
              <w:t>☐</w:t>
            </w:r>
          </w:p>
        </w:tc>
      </w:tr>
      <w:tr w:rsidR="00E3316C" w:rsidRPr="00102618" w14:paraId="4EF3D678" w14:textId="77777777">
        <w:tc>
          <w:tcPr>
            <w:tcW w:w="35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1A5C1449" w14:textId="77777777" w:rsidR="00E3316C" w:rsidRPr="00102618" w:rsidRDefault="00000000">
            <w:pPr>
              <w:rPr>
                <w:rFonts w:ascii="Garamond" w:hAnsi="Garamond"/>
                <w:sz w:val="24"/>
                <w:szCs w:val="24"/>
              </w:rPr>
            </w:pPr>
            <w:r w:rsidRPr="00102618">
              <w:rPr>
                <w:rFonts w:ascii="Garamond" w:hAnsi="Garamond"/>
                <w:sz w:val="24"/>
                <w:szCs w:val="24"/>
              </w:rPr>
              <w:t>What do you remember first?</w:t>
            </w:r>
          </w:p>
        </w:tc>
        <w:tc>
          <w:tcPr>
            <w:tcW w:w="33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5982F362" w14:textId="77777777" w:rsidR="00E3316C" w:rsidRPr="00102618" w:rsidRDefault="00E3316C">
            <w:pPr>
              <w:rPr>
                <w:rFonts w:ascii="Garamond" w:hAnsi="Garamond"/>
                <w:sz w:val="24"/>
                <w:szCs w:val="24"/>
              </w:rPr>
            </w:pPr>
          </w:p>
        </w:tc>
        <w:tc>
          <w:tcPr>
            <w:tcW w:w="288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0FBFDFA8" w14:textId="77777777" w:rsidR="00E3316C" w:rsidRPr="00102618" w:rsidRDefault="00000000">
            <w:pPr>
              <w:rPr>
                <w:rFonts w:ascii="Garamond" w:hAnsi="Garamond"/>
                <w:sz w:val="24"/>
                <w:szCs w:val="24"/>
              </w:rPr>
            </w:pPr>
            <w:r w:rsidRPr="00102618">
              <w:rPr>
                <w:rFonts w:ascii="Segoe UI Symbol" w:hAnsi="Segoe UI Symbol" w:cs="Segoe UI Symbol"/>
                <w:sz w:val="24"/>
                <w:szCs w:val="24"/>
              </w:rPr>
              <w:t>☐</w:t>
            </w:r>
          </w:p>
        </w:tc>
      </w:tr>
      <w:tr w:rsidR="00E3316C" w:rsidRPr="00102618" w14:paraId="15EAD780" w14:textId="77777777">
        <w:tc>
          <w:tcPr>
            <w:tcW w:w="35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7B779A66" w14:textId="77777777" w:rsidR="00E3316C" w:rsidRPr="00102618" w:rsidRDefault="00000000">
            <w:pPr>
              <w:rPr>
                <w:rFonts w:ascii="Garamond" w:hAnsi="Garamond"/>
                <w:sz w:val="24"/>
                <w:szCs w:val="24"/>
              </w:rPr>
            </w:pPr>
            <w:r w:rsidRPr="00102618">
              <w:rPr>
                <w:rFonts w:ascii="Garamond" w:hAnsi="Garamond"/>
                <w:sz w:val="24"/>
                <w:szCs w:val="24"/>
              </w:rPr>
              <w:t>What stands out most strongly about that day or event?</w:t>
            </w:r>
          </w:p>
        </w:tc>
        <w:tc>
          <w:tcPr>
            <w:tcW w:w="33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366B2EF8" w14:textId="77777777" w:rsidR="00E3316C" w:rsidRPr="00102618" w:rsidRDefault="00E3316C">
            <w:pPr>
              <w:rPr>
                <w:rFonts w:ascii="Garamond" w:hAnsi="Garamond"/>
                <w:sz w:val="24"/>
                <w:szCs w:val="24"/>
              </w:rPr>
            </w:pPr>
          </w:p>
        </w:tc>
        <w:tc>
          <w:tcPr>
            <w:tcW w:w="28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48F5B9EF" w14:textId="77777777" w:rsidR="00E3316C" w:rsidRPr="00102618" w:rsidRDefault="00000000">
            <w:pPr>
              <w:rPr>
                <w:rFonts w:ascii="Garamond" w:hAnsi="Garamond"/>
                <w:sz w:val="24"/>
                <w:szCs w:val="24"/>
              </w:rPr>
            </w:pPr>
            <w:r w:rsidRPr="00102618">
              <w:rPr>
                <w:rFonts w:ascii="Segoe UI Symbol" w:hAnsi="Segoe UI Symbol" w:cs="Segoe UI Symbol"/>
                <w:sz w:val="24"/>
                <w:szCs w:val="24"/>
              </w:rPr>
              <w:t>☐</w:t>
            </w:r>
          </w:p>
        </w:tc>
      </w:tr>
      <w:tr w:rsidR="00E3316C" w:rsidRPr="00102618" w14:paraId="6CD69B44" w14:textId="77777777">
        <w:tc>
          <w:tcPr>
            <w:tcW w:w="35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6D59FC86" w14:textId="77777777" w:rsidR="00E3316C" w:rsidRPr="00102618" w:rsidRDefault="00000000">
            <w:pPr>
              <w:rPr>
                <w:rFonts w:ascii="Garamond" w:hAnsi="Garamond"/>
                <w:sz w:val="24"/>
                <w:szCs w:val="24"/>
              </w:rPr>
            </w:pPr>
            <w:r w:rsidRPr="00102618">
              <w:rPr>
                <w:rFonts w:ascii="Garamond" w:hAnsi="Garamond"/>
                <w:sz w:val="24"/>
                <w:szCs w:val="24"/>
              </w:rPr>
              <w:t>What did you think was happening at the time?</w:t>
            </w:r>
          </w:p>
        </w:tc>
        <w:tc>
          <w:tcPr>
            <w:tcW w:w="33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30399545" w14:textId="77777777" w:rsidR="00E3316C" w:rsidRPr="00102618" w:rsidRDefault="00E3316C">
            <w:pPr>
              <w:rPr>
                <w:rFonts w:ascii="Garamond" w:hAnsi="Garamond"/>
                <w:sz w:val="24"/>
                <w:szCs w:val="24"/>
              </w:rPr>
            </w:pPr>
          </w:p>
        </w:tc>
        <w:tc>
          <w:tcPr>
            <w:tcW w:w="288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2C2043D2" w14:textId="77777777" w:rsidR="00E3316C" w:rsidRPr="00102618" w:rsidRDefault="00000000">
            <w:pPr>
              <w:rPr>
                <w:rFonts w:ascii="Garamond" w:hAnsi="Garamond"/>
                <w:sz w:val="24"/>
                <w:szCs w:val="24"/>
              </w:rPr>
            </w:pPr>
            <w:r w:rsidRPr="00102618">
              <w:rPr>
                <w:rFonts w:ascii="Segoe UI Symbol" w:hAnsi="Segoe UI Symbol" w:cs="Segoe UI Symbol"/>
                <w:sz w:val="24"/>
                <w:szCs w:val="24"/>
              </w:rPr>
              <w:t>☐</w:t>
            </w:r>
          </w:p>
        </w:tc>
      </w:tr>
      <w:tr w:rsidR="00E3316C" w:rsidRPr="00102618" w14:paraId="4A4B7DE7" w14:textId="77777777">
        <w:tc>
          <w:tcPr>
            <w:tcW w:w="35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000F6097" w14:textId="77777777" w:rsidR="00E3316C" w:rsidRPr="00102618" w:rsidRDefault="00000000">
            <w:pPr>
              <w:rPr>
                <w:rFonts w:ascii="Garamond" w:hAnsi="Garamond"/>
                <w:sz w:val="24"/>
                <w:szCs w:val="24"/>
              </w:rPr>
            </w:pPr>
            <w:r w:rsidRPr="00102618">
              <w:rPr>
                <w:rFonts w:ascii="Garamond" w:hAnsi="Garamond"/>
                <w:sz w:val="24"/>
                <w:szCs w:val="24"/>
              </w:rPr>
              <w:t>What was said or done that made you believe you were being targeted?</w:t>
            </w:r>
          </w:p>
        </w:tc>
        <w:tc>
          <w:tcPr>
            <w:tcW w:w="33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68F92F16" w14:textId="77777777" w:rsidR="00E3316C" w:rsidRPr="00102618" w:rsidRDefault="00E3316C">
            <w:pPr>
              <w:rPr>
                <w:rFonts w:ascii="Garamond" w:hAnsi="Garamond"/>
                <w:sz w:val="24"/>
                <w:szCs w:val="24"/>
              </w:rPr>
            </w:pPr>
          </w:p>
        </w:tc>
        <w:tc>
          <w:tcPr>
            <w:tcW w:w="28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3A903B9B" w14:textId="77777777" w:rsidR="00E3316C" w:rsidRPr="00102618" w:rsidRDefault="00000000">
            <w:pPr>
              <w:rPr>
                <w:rFonts w:ascii="Garamond" w:hAnsi="Garamond"/>
                <w:sz w:val="24"/>
                <w:szCs w:val="24"/>
              </w:rPr>
            </w:pPr>
            <w:r w:rsidRPr="00102618">
              <w:rPr>
                <w:rFonts w:ascii="Segoe UI Symbol" w:hAnsi="Segoe UI Symbol" w:cs="Segoe UI Symbol"/>
                <w:sz w:val="24"/>
                <w:szCs w:val="24"/>
              </w:rPr>
              <w:t>☐</w:t>
            </w:r>
          </w:p>
        </w:tc>
      </w:tr>
      <w:tr w:rsidR="00E3316C" w:rsidRPr="00102618" w14:paraId="6183C6E4" w14:textId="77777777">
        <w:tc>
          <w:tcPr>
            <w:tcW w:w="35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4D29E387" w14:textId="77777777" w:rsidR="00E3316C" w:rsidRPr="00102618" w:rsidRDefault="00000000">
            <w:pPr>
              <w:rPr>
                <w:rFonts w:ascii="Garamond" w:hAnsi="Garamond"/>
                <w:sz w:val="24"/>
                <w:szCs w:val="24"/>
              </w:rPr>
            </w:pPr>
            <w:r w:rsidRPr="00102618">
              <w:rPr>
                <w:rFonts w:ascii="Garamond" w:hAnsi="Garamond"/>
                <w:sz w:val="24"/>
                <w:szCs w:val="24"/>
              </w:rPr>
              <w:t>How did your body react then—what do you remember noticing physically or emotionally?</w:t>
            </w:r>
          </w:p>
        </w:tc>
        <w:tc>
          <w:tcPr>
            <w:tcW w:w="33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5B0A9F5D" w14:textId="77777777" w:rsidR="00E3316C" w:rsidRPr="00102618" w:rsidRDefault="00E3316C">
            <w:pPr>
              <w:rPr>
                <w:rFonts w:ascii="Garamond" w:hAnsi="Garamond"/>
                <w:sz w:val="24"/>
                <w:szCs w:val="24"/>
              </w:rPr>
            </w:pPr>
          </w:p>
        </w:tc>
        <w:tc>
          <w:tcPr>
            <w:tcW w:w="288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41908D26" w14:textId="77777777" w:rsidR="00E3316C" w:rsidRPr="00102618" w:rsidRDefault="00000000">
            <w:pPr>
              <w:rPr>
                <w:rFonts w:ascii="Garamond" w:hAnsi="Garamond"/>
                <w:sz w:val="24"/>
                <w:szCs w:val="24"/>
              </w:rPr>
            </w:pPr>
            <w:r w:rsidRPr="00102618">
              <w:rPr>
                <w:rFonts w:ascii="Segoe UI Symbol" w:hAnsi="Segoe UI Symbol" w:cs="Segoe UI Symbol"/>
                <w:sz w:val="24"/>
                <w:szCs w:val="24"/>
              </w:rPr>
              <w:t>☐</w:t>
            </w:r>
          </w:p>
        </w:tc>
      </w:tr>
      <w:tr w:rsidR="00E3316C" w:rsidRPr="00102618" w14:paraId="66FF7979" w14:textId="77777777">
        <w:tc>
          <w:tcPr>
            <w:tcW w:w="35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1771FBBC" w14:textId="77777777" w:rsidR="00E3316C" w:rsidRPr="00102618" w:rsidRDefault="00000000">
            <w:pPr>
              <w:rPr>
                <w:rFonts w:ascii="Garamond" w:hAnsi="Garamond"/>
                <w:sz w:val="24"/>
                <w:szCs w:val="24"/>
              </w:rPr>
            </w:pPr>
            <w:r w:rsidRPr="00102618">
              <w:rPr>
                <w:rFonts w:ascii="Garamond" w:hAnsi="Garamond"/>
                <w:sz w:val="24"/>
                <w:szCs w:val="24"/>
              </w:rPr>
              <w:t>What exactly did the persecutor say, accuse you of, call you, or threaten you with?</w:t>
            </w:r>
          </w:p>
        </w:tc>
        <w:tc>
          <w:tcPr>
            <w:tcW w:w="33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0AD32C26" w14:textId="77777777" w:rsidR="00E3316C" w:rsidRPr="00102618" w:rsidRDefault="00000000">
            <w:pPr>
              <w:rPr>
                <w:rFonts w:ascii="Garamond" w:hAnsi="Garamond"/>
                <w:sz w:val="24"/>
                <w:szCs w:val="24"/>
              </w:rPr>
            </w:pPr>
            <w:r w:rsidRPr="00102618">
              <w:rPr>
                <w:rFonts w:ascii="Garamond" w:hAnsi="Garamond"/>
                <w:sz w:val="24"/>
                <w:szCs w:val="24"/>
              </w:rPr>
              <w:t>Persecutor language often makes nexus, subjective fear, and objective fear more visible than summary labels alone.</w:t>
            </w:r>
          </w:p>
        </w:tc>
        <w:tc>
          <w:tcPr>
            <w:tcW w:w="28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625160E7" w14:textId="77777777" w:rsidR="00E3316C" w:rsidRPr="00102618" w:rsidRDefault="00000000">
            <w:pPr>
              <w:rPr>
                <w:rFonts w:ascii="Garamond" w:hAnsi="Garamond"/>
                <w:sz w:val="24"/>
                <w:szCs w:val="24"/>
              </w:rPr>
            </w:pPr>
            <w:r w:rsidRPr="00102618">
              <w:rPr>
                <w:rFonts w:ascii="Segoe UI Symbol" w:hAnsi="Segoe UI Symbol" w:cs="Segoe UI Symbol"/>
                <w:sz w:val="24"/>
                <w:szCs w:val="24"/>
              </w:rPr>
              <w:t>☐</w:t>
            </w:r>
          </w:p>
        </w:tc>
      </w:tr>
    </w:tbl>
    <w:p w14:paraId="71E404F3" w14:textId="77777777" w:rsidR="00E3316C" w:rsidRPr="00102618" w:rsidRDefault="00E3316C">
      <w:pPr>
        <w:spacing w:before="60" w:after="60"/>
        <w:rPr>
          <w:rFonts w:ascii="Garamond" w:hAnsi="Garamond"/>
          <w:sz w:val="24"/>
          <w:szCs w:val="24"/>
        </w:rPr>
      </w:pPr>
    </w:p>
    <w:p w14:paraId="539ED0FE" w14:textId="77777777" w:rsidR="00E3316C" w:rsidRPr="00E40C5D" w:rsidRDefault="00000000">
      <w:pPr>
        <w:pStyle w:val="Heading3"/>
        <w:rPr>
          <w:rFonts w:ascii="Garamond" w:hAnsi="Garamond"/>
          <w:color w:val="000000" w:themeColor="text1"/>
          <w:sz w:val="24"/>
          <w:szCs w:val="24"/>
        </w:rPr>
      </w:pPr>
      <w:r w:rsidRPr="00E40C5D">
        <w:rPr>
          <w:rFonts w:ascii="Garamond" w:hAnsi="Garamond"/>
          <w:color w:val="000000" w:themeColor="text1"/>
          <w:sz w:val="24"/>
          <w:szCs w:val="24"/>
        </w:rPr>
        <w:t>8C.  Post-Event Prompts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20"/>
        <w:gridCol w:w="3320"/>
        <w:gridCol w:w="2880"/>
      </w:tblGrid>
      <w:tr w:rsidR="00E3316C" w:rsidRPr="00102618" w14:paraId="3FA04FE6" w14:textId="77777777">
        <w:trPr>
          <w:tblHeader/>
        </w:trPr>
        <w:tc>
          <w:tcPr>
            <w:tcW w:w="35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0EC47DB6" w14:textId="77777777" w:rsidR="00E3316C" w:rsidRPr="00102618" w:rsidRDefault="00000000">
            <w:pPr>
              <w:rPr>
                <w:rFonts w:ascii="Garamond" w:hAnsi="Garamond"/>
                <w:sz w:val="24"/>
                <w:szCs w:val="24"/>
              </w:rPr>
            </w:pPr>
            <w:r w:rsidRPr="00102618">
              <w:rPr>
                <w:rFonts w:ascii="Garamond" w:hAnsi="Garamond"/>
                <w:b/>
                <w:bCs/>
                <w:color w:val="FFFFFF"/>
                <w:sz w:val="24"/>
                <w:szCs w:val="24"/>
              </w:rPr>
              <w:t>Prompt</w:t>
            </w:r>
          </w:p>
        </w:tc>
        <w:tc>
          <w:tcPr>
            <w:tcW w:w="33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23177600" w14:textId="77777777" w:rsidR="00E3316C" w:rsidRPr="00102618" w:rsidRDefault="00000000">
            <w:pPr>
              <w:rPr>
                <w:rFonts w:ascii="Garamond" w:hAnsi="Garamond"/>
                <w:sz w:val="24"/>
                <w:szCs w:val="24"/>
              </w:rPr>
            </w:pPr>
            <w:r w:rsidRPr="00102618">
              <w:rPr>
                <w:rFonts w:ascii="Garamond" w:hAnsi="Garamond"/>
                <w:b/>
                <w:bCs/>
                <w:color w:val="FFFFFF"/>
                <w:sz w:val="24"/>
                <w:szCs w:val="24"/>
              </w:rPr>
              <w:t>Why It Matters / CIAS Note</w:t>
            </w:r>
          </w:p>
        </w:tc>
        <w:tc>
          <w:tcPr>
            <w:tcW w:w="288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5616B165" w14:textId="77777777" w:rsidR="00E3316C" w:rsidRPr="00102618" w:rsidRDefault="00000000">
            <w:pPr>
              <w:rPr>
                <w:rFonts w:ascii="Garamond" w:hAnsi="Garamond"/>
                <w:sz w:val="24"/>
                <w:szCs w:val="24"/>
              </w:rPr>
            </w:pPr>
            <w:r w:rsidRPr="00102618">
              <w:rPr>
                <w:rFonts w:ascii="Garamond" w:hAnsi="Garamond"/>
                <w:b/>
                <w:bCs/>
                <w:color w:val="FFFFFF"/>
                <w:sz w:val="24"/>
                <w:szCs w:val="24"/>
              </w:rPr>
              <w:t>Follow-Up?</w:t>
            </w:r>
          </w:p>
        </w:tc>
      </w:tr>
      <w:tr w:rsidR="00E3316C" w:rsidRPr="00102618" w14:paraId="782D9117" w14:textId="77777777">
        <w:tc>
          <w:tcPr>
            <w:tcW w:w="35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04260D17" w14:textId="77777777" w:rsidR="00E3316C" w:rsidRPr="00102618" w:rsidRDefault="00000000">
            <w:pPr>
              <w:rPr>
                <w:rFonts w:ascii="Garamond" w:hAnsi="Garamond"/>
                <w:sz w:val="24"/>
                <w:szCs w:val="24"/>
              </w:rPr>
            </w:pPr>
            <w:r w:rsidRPr="00102618">
              <w:rPr>
                <w:rFonts w:ascii="Garamond" w:hAnsi="Garamond"/>
                <w:sz w:val="24"/>
                <w:szCs w:val="24"/>
              </w:rPr>
              <w:t>What changed after that?</w:t>
            </w:r>
          </w:p>
        </w:tc>
        <w:tc>
          <w:tcPr>
            <w:tcW w:w="33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42D0D95D" w14:textId="77777777" w:rsidR="00E3316C" w:rsidRPr="00102618" w:rsidRDefault="00E3316C">
            <w:pPr>
              <w:rPr>
                <w:rFonts w:ascii="Garamond" w:hAnsi="Garamond"/>
                <w:sz w:val="24"/>
                <w:szCs w:val="24"/>
              </w:rPr>
            </w:pPr>
          </w:p>
        </w:tc>
        <w:tc>
          <w:tcPr>
            <w:tcW w:w="28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612F8C7D" w14:textId="77777777" w:rsidR="00E3316C" w:rsidRPr="00102618" w:rsidRDefault="00000000">
            <w:pPr>
              <w:rPr>
                <w:rFonts w:ascii="Garamond" w:hAnsi="Garamond"/>
                <w:sz w:val="24"/>
                <w:szCs w:val="24"/>
              </w:rPr>
            </w:pPr>
            <w:r w:rsidRPr="00102618">
              <w:rPr>
                <w:rFonts w:ascii="Segoe UI Symbol" w:hAnsi="Segoe UI Symbol" w:cs="Segoe UI Symbol"/>
                <w:sz w:val="24"/>
                <w:szCs w:val="24"/>
              </w:rPr>
              <w:t>☐</w:t>
            </w:r>
          </w:p>
        </w:tc>
      </w:tr>
      <w:tr w:rsidR="00E3316C" w:rsidRPr="00102618" w14:paraId="3D4A79AA" w14:textId="77777777">
        <w:tc>
          <w:tcPr>
            <w:tcW w:w="35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07241EF6" w14:textId="77777777" w:rsidR="00E3316C" w:rsidRPr="00102618" w:rsidRDefault="00000000">
            <w:pPr>
              <w:rPr>
                <w:rFonts w:ascii="Garamond" w:hAnsi="Garamond"/>
                <w:sz w:val="24"/>
                <w:szCs w:val="24"/>
              </w:rPr>
            </w:pPr>
            <w:r w:rsidRPr="00102618">
              <w:rPr>
                <w:rFonts w:ascii="Garamond" w:hAnsi="Garamond"/>
                <w:sz w:val="24"/>
                <w:szCs w:val="24"/>
              </w:rPr>
              <w:t>What became harder to do in daily life?</w:t>
            </w:r>
          </w:p>
        </w:tc>
        <w:tc>
          <w:tcPr>
            <w:tcW w:w="33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0FC483BC" w14:textId="77777777" w:rsidR="00E3316C" w:rsidRPr="00102618" w:rsidRDefault="00E3316C">
            <w:pPr>
              <w:rPr>
                <w:rFonts w:ascii="Garamond" w:hAnsi="Garamond"/>
                <w:sz w:val="24"/>
                <w:szCs w:val="24"/>
              </w:rPr>
            </w:pPr>
          </w:p>
        </w:tc>
        <w:tc>
          <w:tcPr>
            <w:tcW w:w="288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00FE77E7" w14:textId="77777777" w:rsidR="00E3316C" w:rsidRPr="00102618" w:rsidRDefault="00000000">
            <w:pPr>
              <w:rPr>
                <w:rFonts w:ascii="Garamond" w:hAnsi="Garamond"/>
                <w:sz w:val="24"/>
                <w:szCs w:val="24"/>
              </w:rPr>
            </w:pPr>
            <w:r w:rsidRPr="00102618">
              <w:rPr>
                <w:rFonts w:ascii="Segoe UI Symbol" w:hAnsi="Segoe UI Symbol" w:cs="Segoe UI Symbol"/>
                <w:sz w:val="24"/>
                <w:szCs w:val="24"/>
              </w:rPr>
              <w:t>☐</w:t>
            </w:r>
          </w:p>
        </w:tc>
      </w:tr>
      <w:tr w:rsidR="00E3316C" w:rsidRPr="00102618" w14:paraId="4ED0872D" w14:textId="77777777">
        <w:tc>
          <w:tcPr>
            <w:tcW w:w="35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6D2A30B2" w14:textId="77777777" w:rsidR="00E3316C" w:rsidRPr="00102618" w:rsidRDefault="00000000">
            <w:pPr>
              <w:rPr>
                <w:rFonts w:ascii="Garamond" w:hAnsi="Garamond"/>
                <w:sz w:val="24"/>
                <w:szCs w:val="24"/>
              </w:rPr>
            </w:pPr>
            <w:r w:rsidRPr="00102618">
              <w:rPr>
                <w:rFonts w:ascii="Garamond" w:hAnsi="Garamond"/>
                <w:sz w:val="24"/>
                <w:szCs w:val="24"/>
              </w:rPr>
              <w:t>Who knew what happened?</w:t>
            </w:r>
          </w:p>
        </w:tc>
        <w:tc>
          <w:tcPr>
            <w:tcW w:w="33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069AFBFA" w14:textId="77777777" w:rsidR="00E3316C" w:rsidRPr="00102618" w:rsidRDefault="00E3316C">
            <w:pPr>
              <w:rPr>
                <w:rFonts w:ascii="Garamond" w:hAnsi="Garamond"/>
                <w:sz w:val="24"/>
                <w:szCs w:val="24"/>
              </w:rPr>
            </w:pPr>
          </w:p>
        </w:tc>
        <w:tc>
          <w:tcPr>
            <w:tcW w:w="28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02C15B19" w14:textId="77777777" w:rsidR="00E3316C" w:rsidRPr="00102618" w:rsidRDefault="00000000">
            <w:pPr>
              <w:rPr>
                <w:rFonts w:ascii="Garamond" w:hAnsi="Garamond"/>
                <w:sz w:val="24"/>
                <w:szCs w:val="24"/>
              </w:rPr>
            </w:pPr>
            <w:r w:rsidRPr="00102618">
              <w:rPr>
                <w:rFonts w:ascii="Segoe UI Symbol" w:hAnsi="Segoe UI Symbol" w:cs="Segoe UI Symbol"/>
                <w:sz w:val="24"/>
                <w:szCs w:val="24"/>
              </w:rPr>
              <w:t>☐</w:t>
            </w:r>
          </w:p>
        </w:tc>
      </w:tr>
      <w:tr w:rsidR="00E3316C" w:rsidRPr="00102618" w14:paraId="6D9EB28D" w14:textId="77777777">
        <w:tc>
          <w:tcPr>
            <w:tcW w:w="35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30DEB2ED" w14:textId="77777777" w:rsidR="00E3316C" w:rsidRPr="00102618" w:rsidRDefault="00000000">
            <w:pPr>
              <w:rPr>
                <w:rFonts w:ascii="Garamond" w:hAnsi="Garamond"/>
                <w:sz w:val="24"/>
                <w:szCs w:val="24"/>
              </w:rPr>
            </w:pPr>
            <w:r w:rsidRPr="00102618">
              <w:rPr>
                <w:rFonts w:ascii="Garamond" w:hAnsi="Garamond"/>
                <w:sz w:val="24"/>
                <w:szCs w:val="24"/>
              </w:rPr>
              <w:t>Did you try to seek help? Why or why not?</w:t>
            </w:r>
          </w:p>
        </w:tc>
        <w:tc>
          <w:tcPr>
            <w:tcW w:w="33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6A82F5F4" w14:textId="77777777" w:rsidR="00E3316C" w:rsidRPr="00102618" w:rsidRDefault="00E3316C">
            <w:pPr>
              <w:rPr>
                <w:rFonts w:ascii="Garamond" w:hAnsi="Garamond"/>
                <w:sz w:val="24"/>
                <w:szCs w:val="24"/>
              </w:rPr>
            </w:pPr>
          </w:p>
        </w:tc>
        <w:tc>
          <w:tcPr>
            <w:tcW w:w="288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3D2272E6" w14:textId="77777777" w:rsidR="00E3316C" w:rsidRPr="00102618" w:rsidRDefault="00000000">
            <w:pPr>
              <w:rPr>
                <w:rFonts w:ascii="Garamond" w:hAnsi="Garamond"/>
                <w:sz w:val="24"/>
                <w:szCs w:val="24"/>
              </w:rPr>
            </w:pPr>
            <w:r w:rsidRPr="00102618">
              <w:rPr>
                <w:rFonts w:ascii="Segoe UI Symbol" w:hAnsi="Segoe UI Symbol" w:cs="Segoe UI Symbol"/>
                <w:sz w:val="24"/>
                <w:szCs w:val="24"/>
              </w:rPr>
              <w:t>☐</w:t>
            </w:r>
          </w:p>
        </w:tc>
      </w:tr>
      <w:tr w:rsidR="00E3316C" w:rsidRPr="00102618" w14:paraId="0550897D" w14:textId="77777777">
        <w:tc>
          <w:tcPr>
            <w:tcW w:w="35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7C34B29F" w14:textId="77777777" w:rsidR="00E3316C" w:rsidRPr="00102618" w:rsidRDefault="00000000">
            <w:pPr>
              <w:rPr>
                <w:rFonts w:ascii="Garamond" w:hAnsi="Garamond"/>
                <w:sz w:val="24"/>
                <w:szCs w:val="24"/>
              </w:rPr>
            </w:pPr>
            <w:r w:rsidRPr="00102618">
              <w:rPr>
                <w:rFonts w:ascii="Garamond" w:hAnsi="Garamond"/>
                <w:sz w:val="24"/>
                <w:szCs w:val="24"/>
              </w:rPr>
              <w:t>Was there any reason you did not tell people right away?</w:t>
            </w:r>
          </w:p>
        </w:tc>
        <w:tc>
          <w:tcPr>
            <w:tcW w:w="33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0CB57114" w14:textId="77777777" w:rsidR="00E3316C" w:rsidRPr="00102618" w:rsidRDefault="00E3316C">
            <w:pPr>
              <w:rPr>
                <w:rFonts w:ascii="Garamond" w:hAnsi="Garamond"/>
                <w:sz w:val="24"/>
                <w:szCs w:val="24"/>
              </w:rPr>
            </w:pPr>
          </w:p>
        </w:tc>
        <w:tc>
          <w:tcPr>
            <w:tcW w:w="28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7BFD4B9" w14:textId="77777777" w:rsidR="00E3316C" w:rsidRPr="00102618" w:rsidRDefault="00000000">
            <w:pPr>
              <w:rPr>
                <w:rFonts w:ascii="Garamond" w:hAnsi="Garamond"/>
                <w:sz w:val="24"/>
                <w:szCs w:val="24"/>
              </w:rPr>
            </w:pPr>
            <w:r w:rsidRPr="00102618">
              <w:rPr>
                <w:rFonts w:ascii="Segoe UI Symbol" w:hAnsi="Segoe UI Symbol" w:cs="Segoe UI Symbol"/>
                <w:sz w:val="24"/>
                <w:szCs w:val="24"/>
              </w:rPr>
              <w:t>☐</w:t>
            </w:r>
          </w:p>
        </w:tc>
      </w:tr>
      <w:tr w:rsidR="00E3316C" w:rsidRPr="00102618" w14:paraId="3BAD2DC8" w14:textId="77777777">
        <w:tc>
          <w:tcPr>
            <w:tcW w:w="35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7DB73070" w14:textId="77777777" w:rsidR="00E3316C" w:rsidRPr="00102618" w:rsidRDefault="00000000">
            <w:pPr>
              <w:rPr>
                <w:rFonts w:ascii="Garamond" w:hAnsi="Garamond"/>
                <w:sz w:val="24"/>
                <w:szCs w:val="24"/>
              </w:rPr>
            </w:pPr>
            <w:r w:rsidRPr="00102618">
              <w:rPr>
                <w:rFonts w:ascii="Garamond" w:hAnsi="Garamond"/>
                <w:sz w:val="24"/>
                <w:szCs w:val="24"/>
              </w:rPr>
              <w:t>What made it difficult to talk about this earlier?</w:t>
            </w:r>
          </w:p>
        </w:tc>
        <w:tc>
          <w:tcPr>
            <w:tcW w:w="33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77CA2315" w14:textId="77777777" w:rsidR="00E3316C" w:rsidRPr="00102618" w:rsidRDefault="00E3316C">
            <w:pPr>
              <w:rPr>
                <w:rFonts w:ascii="Garamond" w:hAnsi="Garamond"/>
                <w:sz w:val="24"/>
                <w:szCs w:val="24"/>
              </w:rPr>
            </w:pPr>
          </w:p>
        </w:tc>
        <w:tc>
          <w:tcPr>
            <w:tcW w:w="288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20B0DA23" w14:textId="77777777" w:rsidR="00E3316C" w:rsidRPr="00102618" w:rsidRDefault="00000000">
            <w:pPr>
              <w:rPr>
                <w:rFonts w:ascii="Garamond" w:hAnsi="Garamond"/>
                <w:sz w:val="24"/>
                <w:szCs w:val="24"/>
              </w:rPr>
            </w:pPr>
            <w:r w:rsidRPr="00102618">
              <w:rPr>
                <w:rFonts w:ascii="Segoe UI Symbol" w:hAnsi="Segoe UI Symbol" w:cs="Segoe UI Symbol"/>
                <w:sz w:val="24"/>
                <w:szCs w:val="24"/>
              </w:rPr>
              <w:t>☐</w:t>
            </w:r>
          </w:p>
        </w:tc>
      </w:tr>
    </w:tbl>
    <w:p w14:paraId="7DC22CEA" w14:textId="77777777" w:rsidR="00E3316C" w:rsidRPr="00102618" w:rsidRDefault="00E3316C">
      <w:pPr>
        <w:spacing w:before="60" w:after="60"/>
        <w:rPr>
          <w:rFonts w:ascii="Garamond" w:hAnsi="Garamond"/>
          <w:sz w:val="24"/>
          <w:szCs w:val="24"/>
        </w:rPr>
      </w:pPr>
    </w:p>
    <w:p w14:paraId="568AFF0A" w14:textId="77777777" w:rsidR="00102618" w:rsidRDefault="00102618">
      <w:pPr>
        <w:pStyle w:val="Heading3"/>
        <w:rPr>
          <w:rFonts w:ascii="Garamond" w:hAnsi="Garamond"/>
          <w:sz w:val="24"/>
          <w:szCs w:val="24"/>
        </w:rPr>
      </w:pPr>
    </w:p>
    <w:p w14:paraId="1D42165B" w14:textId="29F92847" w:rsidR="00E3316C" w:rsidRPr="00E40C5D" w:rsidRDefault="00000000">
      <w:pPr>
        <w:pStyle w:val="Heading3"/>
        <w:rPr>
          <w:rFonts w:ascii="Garamond" w:hAnsi="Garamond"/>
          <w:color w:val="000000" w:themeColor="text1"/>
          <w:sz w:val="24"/>
          <w:szCs w:val="24"/>
        </w:rPr>
      </w:pPr>
      <w:r w:rsidRPr="00E40C5D">
        <w:rPr>
          <w:rFonts w:ascii="Garamond" w:hAnsi="Garamond"/>
          <w:color w:val="000000" w:themeColor="text1"/>
          <w:sz w:val="24"/>
          <w:szCs w:val="24"/>
        </w:rPr>
        <w:lastRenderedPageBreak/>
        <w:t>8D.  Flight, Relocation, and Return-Risk Prompts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20"/>
        <w:gridCol w:w="3320"/>
        <w:gridCol w:w="2880"/>
      </w:tblGrid>
      <w:tr w:rsidR="00E3316C" w:rsidRPr="00102618" w14:paraId="1444C502" w14:textId="77777777">
        <w:trPr>
          <w:tblHeader/>
        </w:trPr>
        <w:tc>
          <w:tcPr>
            <w:tcW w:w="35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0B605297" w14:textId="77777777" w:rsidR="00E3316C" w:rsidRPr="00102618" w:rsidRDefault="00000000">
            <w:pPr>
              <w:rPr>
                <w:rFonts w:ascii="Garamond" w:hAnsi="Garamond"/>
                <w:sz w:val="24"/>
                <w:szCs w:val="24"/>
              </w:rPr>
            </w:pPr>
            <w:r w:rsidRPr="00102618">
              <w:rPr>
                <w:rFonts w:ascii="Garamond" w:hAnsi="Garamond"/>
                <w:b/>
                <w:bCs/>
                <w:color w:val="FFFFFF"/>
                <w:sz w:val="24"/>
                <w:szCs w:val="24"/>
              </w:rPr>
              <w:t>Prompt</w:t>
            </w:r>
          </w:p>
        </w:tc>
        <w:tc>
          <w:tcPr>
            <w:tcW w:w="33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094D20CF" w14:textId="77777777" w:rsidR="00E3316C" w:rsidRPr="00102618" w:rsidRDefault="00000000">
            <w:pPr>
              <w:rPr>
                <w:rFonts w:ascii="Garamond" w:hAnsi="Garamond"/>
                <w:sz w:val="24"/>
                <w:szCs w:val="24"/>
              </w:rPr>
            </w:pPr>
            <w:r w:rsidRPr="00102618">
              <w:rPr>
                <w:rFonts w:ascii="Garamond" w:hAnsi="Garamond"/>
                <w:b/>
                <w:bCs/>
                <w:color w:val="FFFFFF"/>
                <w:sz w:val="24"/>
                <w:szCs w:val="24"/>
              </w:rPr>
              <w:t>Why It Matters / CIAS Note</w:t>
            </w:r>
          </w:p>
        </w:tc>
        <w:tc>
          <w:tcPr>
            <w:tcW w:w="288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6EF05048" w14:textId="77777777" w:rsidR="00E3316C" w:rsidRPr="00102618" w:rsidRDefault="00000000">
            <w:pPr>
              <w:rPr>
                <w:rFonts w:ascii="Garamond" w:hAnsi="Garamond"/>
                <w:sz w:val="24"/>
                <w:szCs w:val="24"/>
              </w:rPr>
            </w:pPr>
            <w:r w:rsidRPr="00102618">
              <w:rPr>
                <w:rFonts w:ascii="Garamond" w:hAnsi="Garamond"/>
                <w:b/>
                <w:bCs/>
                <w:color w:val="FFFFFF"/>
                <w:sz w:val="24"/>
                <w:szCs w:val="24"/>
              </w:rPr>
              <w:t>Follow-Up?</w:t>
            </w:r>
          </w:p>
        </w:tc>
      </w:tr>
      <w:tr w:rsidR="00E3316C" w:rsidRPr="00102618" w14:paraId="18D5D3A5" w14:textId="77777777">
        <w:tc>
          <w:tcPr>
            <w:tcW w:w="35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D4691F4" w14:textId="77777777" w:rsidR="00E3316C" w:rsidRPr="00102618" w:rsidRDefault="00000000">
            <w:pPr>
              <w:rPr>
                <w:rFonts w:ascii="Garamond" w:hAnsi="Garamond"/>
                <w:sz w:val="24"/>
                <w:szCs w:val="24"/>
              </w:rPr>
            </w:pPr>
            <w:r w:rsidRPr="00102618">
              <w:rPr>
                <w:rFonts w:ascii="Garamond" w:hAnsi="Garamond"/>
                <w:sz w:val="24"/>
                <w:szCs w:val="24"/>
              </w:rPr>
              <w:t>When did leaving first become necessary?</w:t>
            </w:r>
          </w:p>
        </w:tc>
        <w:tc>
          <w:tcPr>
            <w:tcW w:w="33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075A0846" w14:textId="77777777" w:rsidR="00E3316C" w:rsidRPr="00102618" w:rsidRDefault="00E3316C">
            <w:pPr>
              <w:rPr>
                <w:rFonts w:ascii="Garamond" w:hAnsi="Garamond"/>
                <w:sz w:val="24"/>
                <w:szCs w:val="24"/>
              </w:rPr>
            </w:pPr>
          </w:p>
        </w:tc>
        <w:tc>
          <w:tcPr>
            <w:tcW w:w="28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3FC159C" w14:textId="77777777" w:rsidR="00E3316C" w:rsidRPr="00102618" w:rsidRDefault="00000000">
            <w:pPr>
              <w:rPr>
                <w:rFonts w:ascii="Garamond" w:hAnsi="Garamond"/>
                <w:sz w:val="24"/>
                <w:szCs w:val="24"/>
              </w:rPr>
            </w:pPr>
            <w:r w:rsidRPr="00102618">
              <w:rPr>
                <w:rFonts w:ascii="Segoe UI Symbol" w:hAnsi="Segoe UI Symbol" w:cs="Segoe UI Symbol"/>
                <w:sz w:val="24"/>
                <w:szCs w:val="24"/>
              </w:rPr>
              <w:t>☐</w:t>
            </w:r>
          </w:p>
        </w:tc>
      </w:tr>
      <w:tr w:rsidR="00E3316C" w:rsidRPr="00102618" w14:paraId="3425E3E7" w14:textId="77777777">
        <w:tc>
          <w:tcPr>
            <w:tcW w:w="35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5E252FD7" w14:textId="77777777" w:rsidR="00E3316C" w:rsidRPr="00102618" w:rsidRDefault="00000000">
            <w:pPr>
              <w:rPr>
                <w:rFonts w:ascii="Garamond" w:hAnsi="Garamond"/>
                <w:sz w:val="24"/>
                <w:szCs w:val="24"/>
              </w:rPr>
            </w:pPr>
            <w:r w:rsidRPr="00102618">
              <w:rPr>
                <w:rFonts w:ascii="Garamond" w:hAnsi="Garamond"/>
                <w:sz w:val="24"/>
                <w:szCs w:val="24"/>
              </w:rPr>
              <w:t>What made it hard to leave sooner?</w:t>
            </w:r>
          </w:p>
        </w:tc>
        <w:tc>
          <w:tcPr>
            <w:tcW w:w="33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53A92F35" w14:textId="77777777" w:rsidR="00E3316C" w:rsidRPr="00102618" w:rsidRDefault="00E3316C">
            <w:pPr>
              <w:rPr>
                <w:rFonts w:ascii="Garamond" w:hAnsi="Garamond"/>
                <w:sz w:val="24"/>
                <w:szCs w:val="24"/>
              </w:rPr>
            </w:pPr>
          </w:p>
        </w:tc>
        <w:tc>
          <w:tcPr>
            <w:tcW w:w="288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1C84F7DF" w14:textId="77777777" w:rsidR="00E3316C" w:rsidRPr="00102618" w:rsidRDefault="00000000">
            <w:pPr>
              <w:rPr>
                <w:rFonts w:ascii="Garamond" w:hAnsi="Garamond"/>
                <w:sz w:val="24"/>
                <w:szCs w:val="24"/>
              </w:rPr>
            </w:pPr>
            <w:r w:rsidRPr="00102618">
              <w:rPr>
                <w:rFonts w:ascii="Segoe UI Symbol" w:hAnsi="Segoe UI Symbol" w:cs="Segoe UI Symbol"/>
                <w:sz w:val="24"/>
                <w:szCs w:val="24"/>
              </w:rPr>
              <w:t>☐</w:t>
            </w:r>
          </w:p>
        </w:tc>
      </w:tr>
      <w:tr w:rsidR="00E3316C" w:rsidRPr="00102618" w14:paraId="2D31190A" w14:textId="77777777">
        <w:tc>
          <w:tcPr>
            <w:tcW w:w="35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CA4F01B" w14:textId="77777777" w:rsidR="00E3316C" w:rsidRPr="00102618" w:rsidRDefault="00000000">
            <w:pPr>
              <w:rPr>
                <w:rFonts w:ascii="Garamond" w:hAnsi="Garamond"/>
                <w:sz w:val="24"/>
                <w:szCs w:val="24"/>
              </w:rPr>
            </w:pPr>
            <w:r w:rsidRPr="00102618">
              <w:rPr>
                <w:rFonts w:ascii="Garamond" w:hAnsi="Garamond"/>
                <w:sz w:val="24"/>
                <w:szCs w:val="24"/>
              </w:rPr>
              <w:t>Did you try to move or stay somewhere else first?</w:t>
            </w:r>
          </w:p>
        </w:tc>
        <w:tc>
          <w:tcPr>
            <w:tcW w:w="33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4E9C17D2" w14:textId="77777777" w:rsidR="00E3316C" w:rsidRPr="00102618" w:rsidRDefault="00E3316C">
            <w:pPr>
              <w:rPr>
                <w:rFonts w:ascii="Garamond" w:hAnsi="Garamond"/>
                <w:sz w:val="24"/>
                <w:szCs w:val="24"/>
              </w:rPr>
            </w:pPr>
          </w:p>
        </w:tc>
        <w:tc>
          <w:tcPr>
            <w:tcW w:w="28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54AAF3A" w14:textId="77777777" w:rsidR="00E3316C" w:rsidRPr="00102618" w:rsidRDefault="00000000">
            <w:pPr>
              <w:rPr>
                <w:rFonts w:ascii="Garamond" w:hAnsi="Garamond"/>
                <w:sz w:val="24"/>
                <w:szCs w:val="24"/>
              </w:rPr>
            </w:pPr>
            <w:r w:rsidRPr="00102618">
              <w:rPr>
                <w:rFonts w:ascii="Segoe UI Symbol" w:hAnsi="Segoe UI Symbol" w:cs="Segoe UI Symbol"/>
                <w:sz w:val="24"/>
                <w:szCs w:val="24"/>
              </w:rPr>
              <w:t>☐</w:t>
            </w:r>
          </w:p>
        </w:tc>
      </w:tr>
      <w:tr w:rsidR="00E3316C" w:rsidRPr="00102618" w14:paraId="233FCA03" w14:textId="77777777">
        <w:tc>
          <w:tcPr>
            <w:tcW w:w="35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4F9A6DB9" w14:textId="77777777" w:rsidR="00E3316C" w:rsidRPr="00102618" w:rsidRDefault="00000000">
            <w:pPr>
              <w:rPr>
                <w:rFonts w:ascii="Garamond" w:hAnsi="Garamond"/>
                <w:sz w:val="24"/>
                <w:szCs w:val="24"/>
              </w:rPr>
            </w:pPr>
            <w:r w:rsidRPr="00102618">
              <w:rPr>
                <w:rFonts w:ascii="Garamond" w:hAnsi="Garamond"/>
                <w:sz w:val="24"/>
                <w:szCs w:val="24"/>
              </w:rPr>
              <w:t>What happened when you tried to relocate, hide, or seek protection?</w:t>
            </w:r>
          </w:p>
        </w:tc>
        <w:tc>
          <w:tcPr>
            <w:tcW w:w="33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72702AEB" w14:textId="77777777" w:rsidR="00E3316C" w:rsidRPr="00102618" w:rsidRDefault="00E3316C">
            <w:pPr>
              <w:rPr>
                <w:rFonts w:ascii="Garamond" w:hAnsi="Garamond"/>
                <w:sz w:val="24"/>
                <w:szCs w:val="24"/>
              </w:rPr>
            </w:pPr>
          </w:p>
        </w:tc>
        <w:tc>
          <w:tcPr>
            <w:tcW w:w="288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542B7BF8" w14:textId="77777777" w:rsidR="00E3316C" w:rsidRPr="00102618" w:rsidRDefault="00000000">
            <w:pPr>
              <w:rPr>
                <w:rFonts w:ascii="Garamond" w:hAnsi="Garamond"/>
                <w:sz w:val="24"/>
                <w:szCs w:val="24"/>
              </w:rPr>
            </w:pPr>
            <w:r w:rsidRPr="00102618">
              <w:rPr>
                <w:rFonts w:ascii="Segoe UI Symbol" w:hAnsi="Segoe UI Symbol" w:cs="Segoe UI Symbol"/>
                <w:sz w:val="24"/>
                <w:szCs w:val="24"/>
              </w:rPr>
              <w:t>☐</w:t>
            </w:r>
          </w:p>
        </w:tc>
      </w:tr>
      <w:tr w:rsidR="00E3316C" w:rsidRPr="00102618" w14:paraId="3F36AA78" w14:textId="77777777">
        <w:tc>
          <w:tcPr>
            <w:tcW w:w="35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6135A4A9" w14:textId="77777777" w:rsidR="00E3316C" w:rsidRPr="00102618" w:rsidRDefault="00000000">
            <w:pPr>
              <w:rPr>
                <w:rFonts w:ascii="Garamond" w:hAnsi="Garamond"/>
                <w:sz w:val="24"/>
                <w:szCs w:val="24"/>
              </w:rPr>
            </w:pPr>
            <w:r w:rsidRPr="00102618">
              <w:rPr>
                <w:rFonts w:ascii="Garamond" w:hAnsi="Garamond"/>
                <w:sz w:val="24"/>
                <w:szCs w:val="24"/>
              </w:rPr>
              <w:t>What options did you think you had at the time?</w:t>
            </w:r>
          </w:p>
        </w:tc>
        <w:tc>
          <w:tcPr>
            <w:tcW w:w="33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61FAE3D9" w14:textId="77777777" w:rsidR="00E3316C" w:rsidRPr="00102618" w:rsidRDefault="00E3316C">
            <w:pPr>
              <w:rPr>
                <w:rFonts w:ascii="Garamond" w:hAnsi="Garamond"/>
                <w:sz w:val="24"/>
                <w:szCs w:val="24"/>
              </w:rPr>
            </w:pPr>
          </w:p>
        </w:tc>
        <w:tc>
          <w:tcPr>
            <w:tcW w:w="28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7103F0B8" w14:textId="77777777" w:rsidR="00E3316C" w:rsidRPr="00102618" w:rsidRDefault="00000000">
            <w:pPr>
              <w:rPr>
                <w:rFonts w:ascii="Garamond" w:hAnsi="Garamond"/>
                <w:sz w:val="24"/>
                <w:szCs w:val="24"/>
              </w:rPr>
            </w:pPr>
            <w:r w:rsidRPr="00102618">
              <w:rPr>
                <w:rFonts w:ascii="Segoe UI Symbol" w:hAnsi="Segoe UI Symbol" w:cs="Segoe UI Symbol"/>
                <w:sz w:val="24"/>
                <w:szCs w:val="24"/>
              </w:rPr>
              <w:t>☐</w:t>
            </w:r>
          </w:p>
        </w:tc>
      </w:tr>
      <w:tr w:rsidR="00E3316C" w:rsidRPr="00102618" w14:paraId="513BBEAB" w14:textId="77777777">
        <w:tc>
          <w:tcPr>
            <w:tcW w:w="35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2F369F87" w14:textId="77777777" w:rsidR="00E3316C" w:rsidRPr="00102618" w:rsidRDefault="00000000">
            <w:pPr>
              <w:rPr>
                <w:rFonts w:ascii="Garamond" w:hAnsi="Garamond"/>
                <w:sz w:val="24"/>
                <w:szCs w:val="24"/>
              </w:rPr>
            </w:pPr>
            <w:r w:rsidRPr="00102618">
              <w:rPr>
                <w:rFonts w:ascii="Garamond" w:hAnsi="Garamond"/>
                <w:sz w:val="24"/>
                <w:szCs w:val="24"/>
              </w:rPr>
              <w:t>What risks existed if you stayed?</w:t>
            </w:r>
          </w:p>
        </w:tc>
        <w:tc>
          <w:tcPr>
            <w:tcW w:w="33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5D92C107" w14:textId="77777777" w:rsidR="00E3316C" w:rsidRPr="00102618" w:rsidRDefault="00E3316C">
            <w:pPr>
              <w:rPr>
                <w:rFonts w:ascii="Garamond" w:hAnsi="Garamond"/>
                <w:sz w:val="24"/>
                <w:szCs w:val="24"/>
              </w:rPr>
            </w:pPr>
          </w:p>
        </w:tc>
        <w:tc>
          <w:tcPr>
            <w:tcW w:w="288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62041237" w14:textId="77777777" w:rsidR="00E3316C" w:rsidRPr="00102618" w:rsidRDefault="00000000">
            <w:pPr>
              <w:rPr>
                <w:rFonts w:ascii="Garamond" w:hAnsi="Garamond"/>
                <w:sz w:val="24"/>
                <w:szCs w:val="24"/>
              </w:rPr>
            </w:pPr>
            <w:r w:rsidRPr="00102618">
              <w:rPr>
                <w:rFonts w:ascii="Segoe UI Symbol" w:hAnsi="Segoe UI Symbol" w:cs="Segoe UI Symbol"/>
                <w:sz w:val="24"/>
                <w:szCs w:val="24"/>
              </w:rPr>
              <w:t>☐</w:t>
            </w:r>
          </w:p>
        </w:tc>
      </w:tr>
    </w:tbl>
    <w:p w14:paraId="7C0E752B" w14:textId="77777777" w:rsidR="00E3316C" w:rsidRPr="00102618" w:rsidRDefault="00E3316C">
      <w:pPr>
        <w:spacing w:before="60" w:after="60"/>
        <w:rPr>
          <w:rFonts w:ascii="Garamond" w:hAnsi="Garamond"/>
          <w:sz w:val="24"/>
          <w:szCs w:val="24"/>
        </w:rPr>
      </w:pPr>
    </w:p>
    <w:p w14:paraId="51B1E4A9" w14:textId="77777777" w:rsidR="00E3316C" w:rsidRPr="00E40C5D" w:rsidRDefault="00000000">
      <w:pPr>
        <w:pStyle w:val="Heading3"/>
        <w:rPr>
          <w:rFonts w:ascii="Garamond" w:hAnsi="Garamond"/>
          <w:color w:val="000000" w:themeColor="text1"/>
          <w:sz w:val="24"/>
          <w:szCs w:val="24"/>
        </w:rPr>
      </w:pPr>
      <w:r w:rsidRPr="00E40C5D">
        <w:rPr>
          <w:rFonts w:ascii="Garamond" w:hAnsi="Garamond"/>
          <w:color w:val="000000" w:themeColor="text1"/>
          <w:sz w:val="24"/>
          <w:szCs w:val="24"/>
        </w:rPr>
        <w:t>8E.  Post-Arrival Prompts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20"/>
        <w:gridCol w:w="3320"/>
        <w:gridCol w:w="2880"/>
      </w:tblGrid>
      <w:tr w:rsidR="00E3316C" w:rsidRPr="00102618" w14:paraId="126F7139" w14:textId="77777777">
        <w:trPr>
          <w:tblHeader/>
        </w:trPr>
        <w:tc>
          <w:tcPr>
            <w:tcW w:w="35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309E12C5" w14:textId="77777777" w:rsidR="00E3316C" w:rsidRPr="00102618" w:rsidRDefault="00000000">
            <w:pPr>
              <w:rPr>
                <w:rFonts w:ascii="Garamond" w:hAnsi="Garamond"/>
                <w:sz w:val="24"/>
                <w:szCs w:val="24"/>
              </w:rPr>
            </w:pPr>
            <w:r w:rsidRPr="00102618">
              <w:rPr>
                <w:rFonts w:ascii="Garamond" w:hAnsi="Garamond"/>
                <w:b/>
                <w:bCs/>
                <w:color w:val="FFFFFF"/>
                <w:sz w:val="24"/>
                <w:szCs w:val="24"/>
              </w:rPr>
              <w:t>Prompt</w:t>
            </w:r>
          </w:p>
        </w:tc>
        <w:tc>
          <w:tcPr>
            <w:tcW w:w="33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3B42CE35" w14:textId="77777777" w:rsidR="00E3316C" w:rsidRPr="00102618" w:rsidRDefault="00000000">
            <w:pPr>
              <w:rPr>
                <w:rFonts w:ascii="Garamond" w:hAnsi="Garamond"/>
                <w:sz w:val="24"/>
                <w:szCs w:val="24"/>
              </w:rPr>
            </w:pPr>
            <w:r w:rsidRPr="00102618">
              <w:rPr>
                <w:rFonts w:ascii="Garamond" w:hAnsi="Garamond"/>
                <w:b/>
                <w:bCs/>
                <w:color w:val="FFFFFF"/>
                <w:sz w:val="24"/>
                <w:szCs w:val="24"/>
              </w:rPr>
              <w:t>Why It Matters / CIAS Note</w:t>
            </w:r>
          </w:p>
        </w:tc>
        <w:tc>
          <w:tcPr>
            <w:tcW w:w="288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0CED9B67" w14:textId="77777777" w:rsidR="00E3316C" w:rsidRPr="00102618" w:rsidRDefault="00000000">
            <w:pPr>
              <w:rPr>
                <w:rFonts w:ascii="Garamond" w:hAnsi="Garamond"/>
                <w:sz w:val="24"/>
                <w:szCs w:val="24"/>
              </w:rPr>
            </w:pPr>
            <w:r w:rsidRPr="00102618">
              <w:rPr>
                <w:rFonts w:ascii="Garamond" w:hAnsi="Garamond"/>
                <w:b/>
                <w:bCs/>
                <w:color w:val="FFFFFF"/>
                <w:sz w:val="24"/>
                <w:szCs w:val="24"/>
              </w:rPr>
              <w:t>Follow-Up?</w:t>
            </w:r>
          </w:p>
        </w:tc>
      </w:tr>
      <w:tr w:rsidR="00E3316C" w:rsidRPr="00102618" w14:paraId="6F9BDB55" w14:textId="77777777">
        <w:tc>
          <w:tcPr>
            <w:tcW w:w="35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8575107" w14:textId="77777777" w:rsidR="00E3316C" w:rsidRPr="00102618" w:rsidRDefault="00000000">
            <w:pPr>
              <w:rPr>
                <w:rFonts w:ascii="Garamond" w:hAnsi="Garamond"/>
                <w:sz w:val="24"/>
                <w:szCs w:val="24"/>
              </w:rPr>
            </w:pPr>
            <w:r w:rsidRPr="00102618">
              <w:rPr>
                <w:rFonts w:ascii="Garamond" w:hAnsi="Garamond"/>
                <w:sz w:val="24"/>
                <w:szCs w:val="24"/>
              </w:rPr>
              <w:t>What has life looked like since arriving?</w:t>
            </w:r>
          </w:p>
        </w:tc>
        <w:tc>
          <w:tcPr>
            <w:tcW w:w="33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8CC51A9" w14:textId="77777777" w:rsidR="00E3316C" w:rsidRPr="00102618" w:rsidRDefault="00E3316C">
            <w:pPr>
              <w:rPr>
                <w:rFonts w:ascii="Garamond" w:hAnsi="Garamond"/>
                <w:sz w:val="24"/>
                <w:szCs w:val="24"/>
              </w:rPr>
            </w:pPr>
          </w:p>
        </w:tc>
        <w:tc>
          <w:tcPr>
            <w:tcW w:w="28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41658B40" w14:textId="77777777" w:rsidR="00E3316C" w:rsidRPr="00102618" w:rsidRDefault="00000000">
            <w:pPr>
              <w:rPr>
                <w:rFonts w:ascii="Garamond" w:hAnsi="Garamond"/>
                <w:sz w:val="24"/>
                <w:szCs w:val="24"/>
              </w:rPr>
            </w:pPr>
            <w:r w:rsidRPr="00102618">
              <w:rPr>
                <w:rFonts w:ascii="Segoe UI Symbol" w:hAnsi="Segoe UI Symbol" w:cs="Segoe UI Symbol"/>
                <w:sz w:val="24"/>
                <w:szCs w:val="24"/>
              </w:rPr>
              <w:t>☐</w:t>
            </w:r>
          </w:p>
        </w:tc>
      </w:tr>
      <w:tr w:rsidR="00E3316C" w:rsidRPr="00102618" w14:paraId="74D9F327" w14:textId="77777777">
        <w:tc>
          <w:tcPr>
            <w:tcW w:w="35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493A37DA" w14:textId="77777777" w:rsidR="00E3316C" w:rsidRPr="00102618" w:rsidRDefault="00000000">
            <w:pPr>
              <w:rPr>
                <w:rFonts w:ascii="Garamond" w:hAnsi="Garamond"/>
                <w:sz w:val="24"/>
                <w:szCs w:val="24"/>
              </w:rPr>
            </w:pPr>
            <w:r w:rsidRPr="00102618">
              <w:rPr>
                <w:rFonts w:ascii="Garamond" w:hAnsi="Garamond"/>
                <w:sz w:val="24"/>
                <w:szCs w:val="24"/>
              </w:rPr>
              <w:t>What still feels unsafe now?</w:t>
            </w:r>
          </w:p>
        </w:tc>
        <w:tc>
          <w:tcPr>
            <w:tcW w:w="33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597D764B" w14:textId="77777777" w:rsidR="00E3316C" w:rsidRPr="00102618" w:rsidRDefault="00E3316C">
            <w:pPr>
              <w:rPr>
                <w:rFonts w:ascii="Garamond" w:hAnsi="Garamond"/>
                <w:sz w:val="24"/>
                <w:szCs w:val="24"/>
              </w:rPr>
            </w:pPr>
          </w:p>
        </w:tc>
        <w:tc>
          <w:tcPr>
            <w:tcW w:w="288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3D2FFBC1" w14:textId="77777777" w:rsidR="00E3316C" w:rsidRPr="00102618" w:rsidRDefault="00000000">
            <w:pPr>
              <w:rPr>
                <w:rFonts w:ascii="Garamond" w:hAnsi="Garamond"/>
                <w:sz w:val="24"/>
                <w:szCs w:val="24"/>
              </w:rPr>
            </w:pPr>
            <w:r w:rsidRPr="00102618">
              <w:rPr>
                <w:rFonts w:ascii="Segoe UI Symbol" w:hAnsi="Segoe UI Symbol" w:cs="Segoe UI Symbol"/>
                <w:sz w:val="24"/>
                <w:szCs w:val="24"/>
              </w:rPr>
              <w:t>☐</w:t>
            </w:r>
          </w:p>
        </w:tc>
      </w:tr>
      <w:tr w:rsidR="00E3316C" w:rsidRPr="00102618" w14:paraId="113F450C" w14:textId="77777777">
        <w:tc>
          <w:tcPr>
            <w:tcW w:w="35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6852096A" w14:textId="77777777" w:rsidR="00E3316C" w:rsidRPr="00102618" w:rsidRDefault="00000000">
            <w:pPr>
              <w:rPr>
                <w:rFonts w:ascii="Garamond" w:hAnsi="Garamond"/>
                <w:sz w:val="24"/>
                <w:szCs w:val="24"/>
              </w:rPr>
            </w:pPr>
            <w:r w:rsidRPr="00102618">
              <w:rPr>
                <w:rFonts w:ascii="Garamond" w:hAnsi="Garamond"/>
                <w:sz w:val="24"/>
                <w:szCs w:val="24"/>
              </w:rPr>
              <w:t>What is still affecting you now?</w:t>
            </w:r>
          </w:p>
        </w:tc>
        <w:tc>
          <w:tcPr>
            <w:tcW w:w="33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E401714" w14:textId="77777777" w:rsidR="00E3316C" w:rsidRPr="00102618" w:rsidRDefault="00E3316C">
            <w:pPr>
              <w:rPr>
                <w:rFonts w:ascii="Garamond" w:hAnsi="Garamond"/>
                <w:sz w:val="24"/>
                <w:szCs w:val="24"/>
              </w:rPr>
            </w:pPr>
          </w:p>
        </w:tc>
        <w:tc>
          <w:tcPr>
            <w:tcW w:w="28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6BC21F7F" w14:textId="77777777" w:rsidR="00E3316C" w:rsidRPr="00102618" w:rsidRDefault="00000000">
            <w:pPr>
              <w:rPr>
                <w:rFonts w:ascii="Garamond" w:hAnsi="Garamond"/>
                <w:sz w:val="24"/>
                <w:szCs w:val="24"/>
              </w:rPr>
            </w:pPr>
            <w:r w:rsidRPr="00102618">
              <w:rPr>
                <w:rFonts w:ascii="Segoe UI Symbol" w:hAnsi="Segoe UI Symbol" w:cs="Segoe UI Symbol"/>
                <w:sz w:val="24"/>
                <w:szCs w:val="24"/>
              </w:rPr>
              <w:t>☐</w:t>
            </w:r>
          </w:p>
        </w:tc>
      </w:tr>
      <w:tr w:rsidR="00E3316C" w:rsidRPr="00102618" w14:paraId="413676EF" w14:textId="77777777">
        <w:tc>
          <w:tcPr>
            <w:tcW w:w="35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4348A537" w14:textId="77777777" w:rsidR="00E3316C" w:rsidRPr="00102618" w:rsidRDefault="00000000">
            <w:pPr>
              <w:rPr>
                <w:rFonts w:ascii="Garamond" w:hAnsi="Garamond"/>
                <w:sz w:val="24"/>
                <w:szCs w:val="24"/>
              </w:rPr>
            </w:pPr>
            <w:r w:rsidRPr="00102618">
              <w:rPr>
                <w:rFonts w:ascii="Garamond" w:hAnsi="Garamond"/>
                <w:sz w:val="24"/>
                <w:szCs w:val="24"/>
              </w:rPr>
              <w:t>What fears remain if return becomes necessary?</w:t>
            </w:r>
          </w:p>
        </w:tc>
        <w:tc>
          <w:tcPr>
            <w:tcW w:w="33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54F7103D" w14:textId="77777777" w:rsidR="00E3316C" w:rsidRPr="00102618" w:rsidRDefault="00E3316C">
            <w:pPr>
              <w:rPr>
                <w:rFonts w:ascii="Garamond" w:hAnsi="Garamond"/>
                <w:sz w:val="24"/>
                <w:szCs w:val="24"/>
              </w:rPr>
            </w:pPr>
          </w:p>
        </w:tc>
        <w:tc>
          <w:tcPr>
            <w:tcW w:w="288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2536C529" w14:textId="77777777" w:rsidR="00E3316C" w:rsidRPr="00102618" w:rsidRDefault="00000000">
            <w:pPr>
              <w:rPr>
                <w:rFonts w:ascii="Garamond" w:hAnsi="Garamond"/>
                <w:sz w:val="24"/>
                <w:szCs w:val="24"/>
              </w:rPr>
            </w:pPr>
            <w:r w:rsidRPr="00102618">
              <w:rPr>
                <w:rFonts w:ascii="Segoe UI Symbol" w:hAnsi="Segoe UI Symbol" w:cs="Segoe UI Symbol"/>
                <w:sz w:val="24"/>
                <w:szCs w:val="24"/>
              </w:rPr>
              <w:t>☐</w:t>
            </w:r>
          </w:p>
        </w:tc>
      </w:tr>
      <w:tr w:rsidR="00E3316C" w:rsidRPr="00102618" w14:paraId="353DD40C" w14:textId="77777777">
        <w:tc>
          <w:tcPr>
            <w:tcW w:w="35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617D7BC6" w14:textId="77777777" w:rsidR="00E3316C" w:rsidRPr="00102618" w:rsidRDefault="00000000">
            <w:pPr>
              <w:rPr>
                <w:rFonts w:ascii="Garamond" w:hAnsi="Garamond"/>
                <w:sz w:val="24"/>
                <w:szCs w:val="24"/>
              </w:rPr>
            </w:pPr>
            <w:r w:rsidRPr="00102618">
              <w:rPr>
                <w:rFonts w:ascii="Garamond" w:hAnsi="Garamond"/>
                <w:sz w:val="24"/>
                <w:szCs w:val="24"/>
              </w:rPr>
              <w:t>What has helped you cope or stay grounded?</w:t>
            </w:r>
          </w:p>
        </w:tc>
        <w:tc>
          <w:tcPr>
            <w:tcW w:w="33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60249AD" w14:textId="77777777" w:rsidR="00E3316C" w:rsidRPr="00102618" w:rsidRDefault="00E3316C">
            <w:pPr>
              <w:rPr>
                <w:rFonts w:ascii="Garamond" w:hAnsi="Garamond"/>
                <w:sz w:val="24"/>
                <w:szCs w:val="24"/>
              </w:rPr>
            </w:pPr>
          </w:p>
        </w:tc>
        <w:tc>
          <w:tcPr>
            <w:tcW w:w="28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40D13728" w14:textId="77777777" w:rsidR="00E3316C" w:rsidRPr="00102618" w:rsidRDefault="00000000">
            <w:pPr>
              <w:rPr>
                <w:rFonts w:ascii="Garamond" w:hAnsi="Garamond"/>
                <w:sz w:val="24"/>
                <w:szCs w:val="24"/>
              </w:rPr>
            </w:pPr>
            <w:r w:rsidRPr="00102618">
              <w:rPr>
                <w:rFonts w:ascii="Segoe UI Symbol" w:hAnsi="Segoe UI Symbol" w:cs="Segoe UI Symbol"/>
                <w:sz w:val="24"/>
                <w:szCs w:val="24"/>
              </w:rPr>
              <w:t>☐</w:t>
            </w:r>
          </w:p>
        </w:tc>
      </w:tr>
      <w:tr w:rsidR="00E3316C" w:rsidRPr="00102618" w14:paraId="36E0AA94" w14:textId="77777777">
        <w:tc>
          <w:tcPr>
            <w:tcW w:w="35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1FFC9406" w14:textId="77777777" w:rsidR="00E3316C" w:rsidRPr="00102618" w:rsidRDefault="00000000">
            <w:pPr>
              <w:rPr>
                <w:rFonts w:ascii="Garamond" w:hAnsi="Garamond"/>
                <w:sz w:val="24"/>
                <w:szCs w:val="24"/>
              </w:rPr>
            </w:pPr>
            <w:r w:rsidRPr="00102618">
              <w:rPr>
                <w:rFonts w:ascii="Garamond" w:hAnsi="Garamond"/>
                <w:sz w:val="24"/>
                <w:szCs w:val="24"/>
              </w:rPr>
              <w:t>What makes it easier or harder to seek help now?</w:t>
            </w:r>
          </w:p>
        </w:tc>
        <w:tc>
          <w:tcPr>
            <w:tcW w:w="33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37C75E7B" w14:textId="77777777" w:rsidR="00E3316C" w:rsidRPr="00102618" w:rsidRDefault="00E3316C">
            <w:pPr>
              <w:rPr>
                <w:rFonts w:ascii="Garamond" w:hAnsi="Garamond"/>
                <w:sz w:val="24"/>
                <w:szCs w:val="24"/>
              </w:rPr>
            </w:pPr>
          </w:p>
        </w:tc>
        <w:tc>
          <w:tcPr>
            <w:tcW w:w="288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76806647" w14:textId="77777777" w:rsidR="00E3316C" w:rsidRPr="00102618" w:rsidRDefault="00000000">
            <w:pPr>
              <w:rPr>
                <w:rFonts w:ascii="Garamond" w:hAnsi="Garamond"/>
                <w:sz w:val="24"/>
                <w:szCs w:val="24"/>
              </w:rPr>
            </w:pPr>
            <w:r w:rsidRPr="00102618">
              <w:rPr>
                <w:rFonts w:ascii="Segoe UI Symbol" w:hAnsi="Segoe UI Symbol" w:cs="Segoe UI Symbol"/>
                <w:sz w:val="24"/>
                <w:szCs w:val="24"/>
              </w:rPr>
              <w:t>☐</w:t>
            </w:r>
          </w:p>
        </w:tc>
      </w:tr>
    </w:tbl>
    <w:p w14:paraId="63FCC21C" w14:textId="77777777" w:rsidR="00E3316C" w:rsidRPr="00102618" w:rsidRDefault="00E3316C">
      <w:pPr>
        <w:spacing w:before="60" w:after="60"/>
        <w:rPr>
          <w:rFonts w:ascii="Garamond" w:hAnsi="Garamond"/>
          <w:sz w:val="24"/>
          <w:szCs w:val="24"/>
        </w:rPr>
      </w:pPr>
    </w:p>
    <w:p w14:paraId="61CE2CB0" w14:textId="77777777" w:rsidR="00102618" w:rsidRDefault="00102618">
      <w:pPr>
        <w:pStyle w:val="Heading3"/>
        <w:rPr>
          <w:rFonts w:ascii="Garamond" w:hAnsi="Garamond"/>
          <w:sz w:val="24"/>
          <w:szCs w:val="24"/>
        </w:rPr>
      </w:pPr>
    </w:p>
    <w:p w14:paraId="250E0D7C" w14:textId="77777777" w:rsidR="00102618" w:rsidRDefault="00102618">
      <w:pPr>
        <w:pStyle w:val="Heading3"/>
        <w:rPr>
          <w:rFonts w:ascii="Garamond" w:hAnsi="Garamond"/>
          <w:sz w:val="24"/>
          <w:szCs w:val="24"/>
        </w:rPr>
      </w:pPr>
    </w:p>
    <w:p w14:paraId="4A022779" w14:textId="77777777" w:rsidR="00102618" w:rsidRDefault="00102618">
      <w:pPr>
        <w:pStyle w:val="Heading3"/>
        <w:rPr>
          <w:rFonts w:ascii="Garamond" w:hAnsi="Garamond"/>
          <w:sz w:val="24"/>
          <w:szCs w:val="24"/>
        </w:rPr>
      </w:pPr>
    </w:p>
    <w:p w14:paraId="5B9D0119" w14:textId="77777777" w:rsidR="00102618" w:rsidRDefault="00102618">
      <w:pPr>
        <w:pStyle w:val="Heading3"/>
        <w:rPr>
          <w:rFonts w:ascii="Garamond" w:hAnsi="Garamond"/>
          <w:sz w:val="24"/>
          <w:szCs w:val="24"/>
        </w:rPr>
      </w:pPr>
    </w:p>
    <w:p w14:paraId="7E8AC7BD" w14:textId="77777777" w:rsidR="00102618" w:rsidRDefault="00102618">
      <w:pPr>
        <w:pStyle w:val="Heading3"/>
        <w:rPr>
          <w:rFonts w:ascii="Garamond" w:hAnsi="Garamond"/>
          <w:sz w:val="24"/>
          <w:szCs w:val="24"/>
        </w:rPr>
      </w:pPr>
    </w:p>
    <w:p w14:paraId="72AF9DE9" w14:textId="313FFAF1" w:rsidR="00E3316C" w:rsidRPr="00E40C5D" w:rsidRDefault="00000000">
      <w:pPr>
        <w:pStyle w:val="Heading3"/>
        <w:rPr>
          <w:rFonts w:ascii="Garamond" w:hAnsi="Garamond"/>
          <w:color w:val="000000" w:themeColor="text1"/>
          <w:sz w:val="24"/>
          <w:szCs w:val="24"/>
        </w:rPr>
      </w:pPr>
      <w:r w:rsidRPr="00E40C5D">
        <w:rPr>
          <w:rFonts w:ascii="Garamond" w:hAnsi="Garamond"/>
          <w:color w:val="000000" w:themeColor="text1"/>
          <w:sz w:val="24"/>
          <w:szCs w:val="24"/>
        </w:rPr>
        <w:lastRenderedPageBreak/>
        <w:t xml:space="preserve">8F.  Visual Chronology Anchors and </w:t>
      </w:r>
      <w:proofErr w:type="spellStart"/>
      <w:r w:rsidRPr="00E40C5D">
        <w:rPr>
          <w:rFonts w:ascii="Garamond" w:hAnsi="Garamond"/>
          <w:color w:val="000000" w:themeColor="text1"/>
          <w:sz w:val="24"/>
          <w:szCs w:val="24"/>
        </w:rPr>
        <w:t>Overgeneral</w:t>
      </w:r>
      <w:proofErr w:type="spellEnd"/>
      <w:r w:rsidRPr="00E40C5D">
        <w:rPr>
          <w:rFonts w:ascii="Garamond" w:hAnsi="Garamond"/>
          <w:color w:val="000000" w:themeColor="text1"/>
          <w:sz w:val="24"/>
          <w:szCs w:val="24"/>
        </w:rPr>
        <w:t>-Memory Support</w:t>
      </w:r>
    </w:p>
    <w:p w14:paraId="5649E981" w14:textId="77777777" w:rsidR="00E3316C" w:rsidRPr="00102618" w:rsidRDefault="00000000">
      <w:pPr>
        <w:spacing w:after="120"/>
        <w:rPr>
          <w:rFonts w:ascii="Garamond" w:hAnsi="Garamond"/>
          <w:sz w:val="24"/>
          <w:szCs w:val="24"/>
        </w:rPr>
      </w:pPr>
      <w:r w:rsidRPr="00102618">
        <w:rPr>
          <w:rFonts w:ascii="Garamond" w:hAnsi="Garamond"/>
          <w:sz w:val="24"/>
          <w:szCs w:val="24"/>
        </w:rPr>
        <w:t>When a client cannot produce exact dates, do not treat that as failure. Use contextual anchors and return later. This is especially important when the client remembers in snapshots, sensations, school years, seasons, or family milestones rather than calendar time.</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40"/>
        <w:gridCol w:w="1340"/>
        <w:gridCol w:w="1340"/>
        <w:gridCol w:w="1340"/>
        <w:gridCol w:w="1340"/>
        <w:gridCol w:w="1340"/>
        <w:gridCol w:w="1340"/>
      </w:tblGrid>
      <w:tr w:rsidR="00E3316C" w:rsidRPr="00102618" w14:paraId="4EB904B8" w14:textId="77777777">
        <w:trPr>
          <w:tblHeader/>
        </w:trPr>
        <w:tc>
          <w:tcPr>
            <w:tcW w:w="134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6C8FEF6C" w14:textId="77777777" w:rsidR="00E3316C" w:rsidRPr="00102618" w:rsidRDefault="00000000">
            <w:pPr>
              <w:rPr>
                <w:rFonts w:ascii="Garamond" w:hAnsi="Garamond"/>
                <w:sz w:val="24"/>
                <w:szCs w:val="24"/>
              </w:rPr>
            </w:pPr>
            <w:r w:rsidRPr="00102618">
              <w:rPr>
                <w:rFonts w:ascii="Garamond" w:hAnsi="Garamond"/>
                <w:b/>
                <w:bCs/>
                <w:color w:val="FFFFFF"/>
                <w:sz w:val="24"/>
                <w:szCs w:val="24"/>
              </w:rPr>
              <w:t>Season</w:t>
            </w:r>
          </w:p>
        </w:tc>
        <w:tc>
          <w:tcPr>
            <w:tcW w:w="134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68E10236" w14:textId="77777777" w:rsidR="00E3316C" w:rsidRPr="00102618" w:rsidRDefault="00000000">
            <w:pPr>
              <w:rPr>
                <w:rFonts w:ascii="Garamond" w:hAnsi="Garamond"/>
                <w:sz w:val="24"/>
                <w:szCs w:val="24"/>
              </w:rPr>
            </w:pPr>
            <w:r w:rsidRPr="00102618">
              <w:rPr>
                <w:rFonts w:ascii="Garamond" w:hAnsi="Garamond"/>
                <w:b/>
                <w:bCs/>
                <w:color w:val="FFFFFF"/>
                <w:sz w:val="24"/>
                <w:szCs w:val="24"/>
              </w:rPr>
              <w:t>Holiday / Holy Day</w:t>
            </w:r>
          </w:p>
        </w:tc>
        <w:tc>
          <w:tcPr>
            <w:tcW w:w="134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1B1EB4C0" w14:textId="77777777" w:rsidR="00E3316C" w:rsidRPr="00102618" w:rsidRDefault="00000000">
            <w:pPr>
              <w:rPr>
                <w:rFonts w:ascii="Garamond" w:hAnsi="Garamond"/>
                <w:sz w:val="24"/>
                <w:szCs w:val="24"/>
              </w:rPr>
            </w:pPr>
            <w:r w:rsidRPr="00102618">
              <w:rPr>
                <w:rFonts w:ascii="Garamond" w:hAnsi="Garamond"/>
                <w:b/>
                <w:bCs/>
                <w:color w:val="FFFFFF"/>
                <w:sz w:val="24"/>
                <w:szCs w:val="24"/>
              </w:rPr>
              <w:t>Election / Conflict</w:t>
            </w:r>
          </w:p>
        </w:tc>
        <w:tc>
          <w:tcPr>
            <w:tcW w:w="134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0408E925" w14:textId="77777777" w:rsidR="00E3316C" w:rsidRPr="00102618" w:rsidRDefault="00000000">
            <w:pPr>
              <w:rPr>
                <w:rFonts w:ascii="Garamond" w:hAnsi="Garamond"/>
                <w:sz w:val="24"/>
                <w:szCs w:val="24"/>
              </w:rPr>
            </w:pPr>
            <w:r w:rsidRPr="00102618">
              <w:rPr>
                <w:rFonts w:ascii="Garamond" w:hAnsi="Garamond"/>
                <w:b/>
                <w:bCs/>
                <w:color w:val="FFFFFF"/>
                <w:sz w:val="24"/>
                <w:szCs w:val="24"/>
              </w:rPr>
              <w:t>School Year</w:t>
            </w:r>
          </w:p>
        </w:tc>
        <w:tc>
          <w:tcPr>
            <w:tcW w:w="134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64E4D72D" w14:textId="77777777" w:rsidR="00E3316C" w:rsidRPr="00102618" w:rsidRDefault="00000000">
            <w:pPr>
              <w:rPr>
                <w:rFonts w:ascii="Garamond" w:hAnsi="Garamond"/>
                <w:sz w:val="24"/>
                <w:szCs w:val="24"/>
              </w:rPr>
            </w:pPr>
            <w:r w:rsidRPr="00102618">
              <w:rPr>
                <w:rFonts w:ascii="Garamond" w:hAnsi="Garamond"/>
                <w:b/>
                <w:bCs/>
                <w:color w:val="FFFFFF"/>
                <w:sz w:val="24"/>
                <w:szCs w:val="24"/>
              </w:rPr>
              <w:t>Pregnancy / Child Age</w:t>
            </w:r>
          </w:p>
        </w:tc>
        <w:tc>
          <w:tcPr>
            <w:tcW w:w="134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3A1FD607" w14:textId="77777777" w:rsidR="00E3316C" w:rsidRPr="00102618" w:rsidRDefault="00000000">
            <w:pPr>
              <w:rPr>
                <w:rFonts w:ascii="Garamond" w:hAnsi="Garamond"/>
                <w:sz w:val="24"/>
                <w:szCs w:val="24"/>
              </w:rPr>
            </w:pPr>
            <w:r w:rsidRPr="00102618">
              <w:rPr>
                <w:rFonts w:ascii="Garamond" w:hAnsi="Garamond"/>
                <w:b/>
                <w:bCs/>
                <w:color w:val="FFFFFF"/>
                <w:sz w:val="24"/>
                <w:szCs w:val="24"/>
              </w:rPr>
              <w:t>Move / Detention / Release</w:t>
            </w:r>
          </w:p>
        </w:tc>
        <w:tc>
          <w:tcPr>
            <w:tcW w:w="134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7262ADF8" w14:textId="77777777" w:rsidR="00E3316C" w:rsidRPr="00102618" w:rsidRDefault="00000000">
            <w:pPr>
              <w:rPr>
                <w:rFonts w:ascii="Garamond" w:hAnsi="Garamond"/>
                <w:sz w:val="24"/>
                <w:szCs w:val="24"/>
              </w:rPr>
            </w:pPr>
            <w:r w:rsidRPr="00102618">
              <w:rPr>
                <w:rFonts w:ascii="Garamond" w:hAnsi="Garamond"/>
                <w:b/>
                <w:bCs/>
                <w:color w:val="FFFFFF"/>
                <w:sz w:val="24"/>
                <w:szCs w:val="24"/>
              </w:rPr>
              <w:t>Language Used Then</w:t>
            </w:r>
          </w:p>
        </w:tc>
      </w:tr>
      <w:tr w:rsidR="00E3316C" w:rsidRPr="00102618" w14:paraId="36F14FB1" w14:textId="77777777">
        <w:tc>
          <w:tcPr>
            <w:tcW w:w="13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AF6E9D3" w14:textId="77777777" w:rsidR="00E3316C" w:rsidRPr="00102618" w:rsidRDefault="00E3316C">
            <w:pPr>
              <w:rPr>
                <w:rFonts w:ascii="Garamond" w:hAnsi="Garamond"/>
                <w:sz w:val="24"/>
                <w:szCs w:val="24"/>
              </w:rPr>
            </w:pPr>
          </w:p>
        </w:tc>
        <w:tc>
          <w:tcPr>
            <w:tcW w:w="13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D751B78" w14:textId="77777777" w:rsidR="00E3316C" w:rsidRPr="00102618" w:rsidRDefault="00E3316C">
            <w:pPr>
              <w:rPr>
                <w:rFonts w:ascii="Garamond" w:hAnsi="Garamond"/>
                <w:sz w:val="24"/>
                <w:szCs w:val="24"/>
              </w:rPr>
            </w:pPr>
          </w:p>
        </w:tc>
        <w:tc>
          <w:tcPr>
            <w:tcW w:w="13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70AB9FEF" w14:textId="77777777" w:rsidR="00E3316C" w:rsidRPr="00102618" w:rsidRDefault="00E3316C">
            <w:pPr>
              <w:rPr>
                <w:rFonts w:ascii="Garamond" w:hAnsi="Garamond"/>
                <w:sz w:val="24"/>
                <w:szCs w:val="24"/>
              </w:rPr>
            </w:pPr>
          </w:p>
        </w:tc>
        <w:tc>
          <w:tcPr>
            <w:tcW w:w="13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03238FC2" w14:textId="77777777" w:rsidR="00E3316C" w:rsidRPr="00102618" w:rsidRDefault="00E3316C">
            <w:pPr>
              <w:rPr>
                <w:rFonts w:ascii="Garamond" w:hAnsi="Garamond"/>
                <w:sz w:val="24"/>
                <w:szCs w:val="24"/>
              </w:rPr>
            </w:pPr>
          </w:p>
        </w:tc>
        <w:tc>
          <w:tcPr>
            <w:tcW w:w="13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064EC997" w14:textId="77777777" w:rsidR="00E3316C" w:rsidRPr="00102618" w:rsidRDefault="00E3316C">
            <w:pPr>
              <w:rPr>
                <w:rFonts w:ascii="Garamond" w:hAnsi="Garamond"/>
                <w:sz w:val="24"/>
                <w:szCs w:val="24"/>
              </w:rPr>
            </w:pPr>
          </w:p>
        </w:tc>
        <w:tc>
          <w:tcPr>
            <w:tcW w:w="13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17985D9B" w14:textId="77777777" w:rsidR="00E3316C" w:rsidRPr="00102618" w:rsidRDefault="00E3316C">
            <w:pPr>
              <w:rPr>
                <w:rFonts w:ascii="Garamond" w:hAnsi="Garamond"/>
                <w:sz w:val="24"/>
                <w:szCs w:val="24"/>
              </w:rPr>
            </w:pPr>
          </w:p>
        </w:tc>
        <w:tc>
          <w:tcPr>
            <w:tcW w:w="13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4B4BD32D" w14:textId="77777777" w:rsidR="00E3316C" w:rsidRPr="00102618" w:rsidRDefault="00E3316C">
            <w:pPr>
              <w:rPr>
                <w:rFonts w:ascii="Garamond" w:hAnsi="Garamond"/>
                <w:sz w:val="24"/>
                <w:szCs w:val="24"/>
              </w:rPr>
            </w:pPr>
          </w:p>
        </w:tc>
      </w:tr>
    </w:tbl>
    <w:p w14:paraId="628B019B" w14:textId="77777777" w:rsidR="00E3316C" w:rsidRPr="00102618" w:rsidRDefault="00E3316C">
      <w:pPr>
        <w:spacing w:before="60" w:after="60"/>
        <w:rPr>
          <w:rFonts w:ascii="Garamond" w:hAnsi="Garamond"/>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3316C" w:rsidRPr="00102618" w14:paraId="11A75DBA" w14:textId="77777777">
        <w:tc>
          <w:tcPr>
            <w:tcW w:w="9360" w:type="dxa"/>
            <w:tcBorders>
              <w:top w:val="single" w:sz="8" w:space="0" w:color="C49A00"/>
              <w:left w:val="single" w:sz="8" w:space="0" w:color="C49A00"/>
              <w:bottom w:val="single" w:sz="8" w:space="0" w:color="C49A00"/>
              <w:right w:val="single" w:sz="8" w:space="0" w:color="C49A00"/>
            </w:tcBorders>
            <w:shd w:val="clear" w:color="auto" w:fill="FFF2CC"/>
            <w:tcMar>
              <w:top w:w="120" w:type="dxa"/>
              <w:left w:w="160" w:type="dxa"/>
              <w:bottom w:w="120" w:type="dxa"/>
              <w:right w:w="160" w:type="dxa"/>
            </w:tcMar>
          </w:tcPr>
          <w:p w14:paraId="09C97C04" w14:textId="77777777" w:rsidR="00E3316C" w:rsidRPr="00102618" w:rsidRDefault="00000000">
            <w:pPr>
              <w:spacing w:after="120"/>
              <w:rPr>
                <w:rFonts w:ascii="Garamond" w:hAnsi="Garamond"/>
                <w:sz w:val="24"/>
                <w:szCs w:val="24"/>
              </w:rPr>
            </w:pPr>
            <w:proofErr w:type="gramStart"/>
            <w:r w:rsidRPr="00102618">
              <w:rPr>
                <w:rFonts w:ascii="Apple Color Emoji" w:hAnsi="Apple Color Emoji" w:cs="Apple Color Emoji"/>
                <w:b/>
                <w:bCs/>
                <w:sz w:val="24"/>
                <w:szCs w:val="24"/>
              </w:rPr>
              <w:t>⚠</w:t>
            </w:r>
            <w:r w:rsidRPr="00102618">
              <w:rPr>
                <w:rFonts w:ascii="Garamond" w:hAnsi="Garamond"/>
                <w:b/>
                <w:bCs/>
                <w:sz w:val="24"/>
                <w:szCs w:val="24"/>
              </w:rPr>
              <w:t xml:space="preserve">  STOP</w:t>
            </w:r>
            <w:proofErr w:type="gramEnd"/>
            <w:r w:rsidRPr="00102618">
              <w:rPr>
                <w:rFonts w:ascii="Garamond" w:hAnsi="Garamond"/>
                <w:b/>
                <w:bCs/>
                <w:sz w:val="24"/>
                <w:szCs w:val="24"/>
              </w:rPr>
              <w:t xml:space="preserve"> RULE.  </w:t>
            </w:r>
            <w:r w:rsidRPr="00102618">
              <w:rPr>
                <w:rFonts w:ascii="Garamond" w:hAnsi="Garamond"/>
                <w:sz w:val="24"/>
                <w:szCs w:val="24"/>
              </w:rPr>
              <w:t>Containment cue. If chronology work causes flooding, pause, orient to the room, shift to a neutral topic, and decide together whether to return later. In-session containment protocol: (1) pause immediately; (2) say, "We do not have to talk about this right now"; (3) help the client orient to the present—name five things they can see, four they can feel, or invite a short walk / water break; (4) shift to a neutral question if needed; (5) note the topic for later return (SAMHSA, 2014; American Bar Association Commission on Immigration &amp; HIAS, 2022; U.S. Committee for Refugees and Immigrants, 2021).</w:t>
            </w:r>
          </w:p>
        </w:tc>
      </w:tr>
    </w:tbl>
    <w:p w14:paraId="5CC36BDB" w14:textId="77777777" w:rsidR="00E3316C" w:rsidRPr="00102618" w:rsidRDefault="00000000">
      <w:pPr>
        <w:rPr>
          <w:rFonts w:ascii="Garamond" w:hAnsi="Garamond"/>
          <w:sz w:val="24"/>
          <w:szCs w:val="24"/>
        </w:rPr>
      </w:pPr>
      <w:r w:rsidRPr="00102618">
        <w:rPr>
          <w:rFonts w:ascii="Garamond" w:hAnsi="Garamond"/>
          <w:sz w:val="24"/>
          <w:szCs w:val="24"/>
        </w:rPr>
        <w:br w:type="page"/>
      </w:r>
    </w:p>
    <w:p w14:paraId="500D8EBE" w14:textId="77777777" w:rsidR="00E3316C" w:rsidRPr="00E40C5D" w:rsidRDefault="00000000">
      <w:pPr>
        <w:pStyle w:val="Heading2"/>
        <w:pBdr>
          <w:bottom w:val="single" w:sz="6" w:space="1" w:color="2E75B6"/>
        </w:pBdr>
        <w:rPr>
          <w:rFonts w:ascii="Garamond" w:hAnsi="Garamond"/>
          <w:color w:val="000000" w:themeColor="text1"/>
          <w:sz w:val="24"/>
          <w:szCs w:val="24"/>
        </w:rPr>
      </w:pPr>
      <w:r w:rsidRPr="00E40C5D">
        <w:rPr>
          <w:rFonts w:ascii="Garamond" w:hAnsi="Garamond"/>
          <w:color w:val="000000" w:themeColor="text1"/>
          <w:sz w:val="24"/>
          <w:szCs w:val="24"/>
        </w:rPr>
        <w:lastRenderedPageBreak/>
        <w:t>Section 9. Delay, Partial Disclosure, Barriers, and Developmental Markers</w:t>
      </w:r>
    </w:p>
    <w:p w14:paraId="3329F53A" w14:textId="77777777" w:rsidR="00E3316C" w:rsidRPr="00102618" w:rsidRDefault="00000000">
      <w:pPr>
        <w:spacing w:after="120"/>
        <w:rPr>
          <w:rFonts w:ascii="Garamond" w:hAnsi="Garamond"/>
          <w:sz w:val="24"/>
          <w:szCs w:val="24"/>
        </w:rPr>
      </w:pPr>
      <w:r w:rsidRPr="00102618">
        <w:rPr>
          <w:rFonts w:ascii="Garamond" w:hAnsi="Garamond"/>
          <w:sz w:val="24"/>
          <w:szCs w:val="24"/>
        </w:rPr>
        <w:t>Delayed and partial disclosure is not a reliable indicator of deception. Research documents that shame, trauma-related avoidance, dissociation, fear of retaliation, immigration-status fears, and interpretation or language problems can all suppress or delay disclosure even when the underlying events are entirely truthful (</w:t>
      </w:r>
      <w:proofErr w:type="spellStart"/>
      <w:r w:rsidRPr="00102618">
        <w:rPr>
          <w:rFonts w:ascii="Garamond" w:hAnsi="Garamond"/>
          <w:sz w:val="24"/>
          <w:szCs w:val="24"/>
        </w:rPr>
        <w:t>Bögner</w:t>
      </w:r>
      <w:proofErr w:type="spellEnd"/>
      <w:r w:rsidRPr="00102618">
        <w:rPr>
          <w:rFonts w:ascii="Garamond" w:hAnsi="Garamond"/>
          <w:sz w:val="24"/>
          <w:szCs w:val="24"/>
        </w:rPr>
        <w:t xml:space="preserve"> et al., 2007; Victim Support Europe, 2021; Center for Human Rights, Gender and Migration at Washington University in St. Louis, Red Regional de </w:t>
      </w:r>
      <w:proofErr w:type="spellStart"/>
      <w:r w:rsidRPr="00102618">
        <w:rPr>
          <w:rFonts w:ascii="Garamond" w:hAnsi="Garamond"/>
          <w:sz w:val="24"/>
          <w:szCs w:val="24"/>
        </w:rPr>
        <w:t>Espacios</w:t>
      </w:r>
      <w:proofErr w:type="spellEnd"/>
      <w:r w:rsidRPr="00102618">
        <w:rPr>
          <w:rFonts w:ascii="Garamond" w:hAnsi="Garamond"/>
          <w:sz w:val="24"/>
          <w:szCs w:val="24"/>
        </w:rPr>
        <w:t xml:space="preserve"> Seguros, &amp; UNHCR, 2020). This section provides tools for identifying specific disclosure barriers, documenting them neutrally, and asking about them without blame—while preserving the practitioner's responsibility to evaluate what is core, what is peripheral, and what requires clarification or legal strategy.</w:t>
      </w:r>
    </w:p>
    <w:p w14:paraId="6BB1829E" w14:textId="77777777" w:rsidR="00E3316C" w:rsidRPr="00102618" w:rsidRDefault="00E3316C">
      <w:pPr>
        <w:spacing w:before="60" w:after="60"/>
        <w:rPr>
          <w:rFonts w:ascii="Garamond" w:hAnsi="Garamond"/>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80"/>
      </w:tblGrid>
      <w:tr w:rsidR="00E3316C" w:rsidRPr="00102618" w14:paraId="0F49F52B" w14:textId="77777777">
        <w:tc>
          <w:tcPr>
            <w:tcW w:w="9360" w:type="dxa"/>
            <w:tcBorders>
              <w:top w:val="dashSmallGap" w:sz="4" w:space="0" w:color="375623"/>
              <w:left w:val="dashSmallGap" w:sz="4" w:space="0" w:color="375623"/>
              <w:bottom w:val="dashSmallGap" w:sz="4" w:space="0" w:color="375623"/>
              <w:right w:val="dashSmallGap" w:sz="4" w:space="0" w:color="375623"/>
            </w:tcBorders>
            <w:shd w:val="clear" w:color="auto" w:fill="E2EFDA"/>
            <w:tcMar>
              <w:top w:w="120" w:type="dxa"/>
              <w:left w:w="160" w:type="dxa"/>
              <w:bottom w:w="120" w:type="dxa"/>
              <w:right w:w="160" w:type="dxa"/>
            </w:tcMar>
          </w:tcPr>
          <w:p w14:paraId="4A072602" w14:textId="53168A6F" w:rsidR="00E3316C" w:rsidRPr="00102618" w:rsidRDefault="00E40C5D">
            <w:pPr>
              <w:rPr>
                <w:rFonts w:ascii="Garamond" w:hAnsi="Garamond"/>
                <w:sz w:val="24"/>
                <w:szCs w:val="24"/>
              </w:rPr>
            </w:pPr>
            <w:r>
              <w:rPr>
                <w:rFonts w:ascii="Garamond" w:hAnsi="Garamond"/>
                <w:i/>
                <w:iCs/>
                <w:noProof/>
                <w:sz w:val="24"/>
                <w:szCs w:val="24"/>
              </w:rPr>
              <w:drawing>
                <wp:inline distT="0" distB="0" distL="0" distR="0" wp14:anchorId="22C99E3E" wp14:editId="54F664A6">
                  <wp:extent cx="5943600" cy="4127500"/>
                  <wp:effectExtent l="0" t="0" r="0" b="0"/>
                  <wp:docPr id="17765426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542645" name="Picture 177654264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4127500"/>
                          </a:xfrm>
                          <a:prstGeom prst="rect">
                            <a:avLst/>
                          </a:prstGeom>
                        </pic:spPr>
                      </pic:pic>
                    </a:graphicData>
                  </a:graphic>
                </wp:inline>
              </w:drawing>
            </w:r>
            <w:r w:rsidRPr="00102618">
              <w:rPr>
                <w:rFonts w:ascii="Garamond" w:hAnsi="Garamond"/>
                <w:i/>
                <w:iCs/>
                <w:sz w:val="24"/>
                <w:szCs w:val="24"/>
              </w:rPr>
              <w:t>.</w:t>
            </w:r>
          </w:p>
        </w:tc>
      </w:tr>
    </w:tbl>
    <w:p w14:paraId="234F2F51" w14:textId="77777777" w:rsidR="00E3316C" w:rsidRPr="00102618" w:rsidRDefault="00E3316C">
      <w:pPr>
        <w:spacing w:before="60" w:after="60"/>
        <w:rPr>
          <w:rFonts w:ascii="Garamond" w:hAnsi="Garamond"/>
          <w:sz w:val="24"/>
          <w:szCs w:val="24"/>
        </w:rPr>
      </w:pPr>
    </w:p>
    <w:p w14:paraId="2FD6EED9" w14:textId="77777777" w:rsidR="00E3316C" w:rsidRPr="00E40C5D" w:rsidRDefault="00000000">
      <w:pPr>
        <w:pStyle w:val="Heading3"/>
        <w:rPr>
          <w:rFonts w:ascii="Garamond" w:hAnsi="Garamond"/>
          <w:color w:val="000000" w:themeColor="text1"/>
          <w:sz w:val="24"/>
          <w:szCs w:val="24"/>
        </w:rPr>
      </w:pPr>
      <w:r w:rsidRPr="00E40C5D">
        <w:rPr>
          <w:rFonts w:ascii="Garamond" w:hAnsi="Garamond"/>
          <w:color w:val="000000" w:themeColor="text1"/>
          <w:sz w:val="24"/>
          <w:szCs w:val="24"/>
        </w:rPr>
        <w:t>9A.  Why Something May Not Have Been Shared Earlier</w:t>
      </w:r>
    </w:p>
    <w:p w14:paraId="6395CC0D" w14:textId="77777777" w:rsidR="00E3316C" w:rsidRPr="00102618" w:rsidRDefault="00000000">
      <w:pPr>
        <w:spacing w:after="60"/>
        <w:ind w:left="360" w:hanging="360"/>
        <w:rPr>
          <w:rFonts w:ascii="Garamond" w:hAnsi="Garamond"/>
          <w:sz w:val="24"/>
          <w:szCs w:val="24"/>
        </w:rPr>
      </w:pPr>
      <w:proofErr w:type="gramStart"/>
      <w:r w:rsidRPr="00102618">
        <w:rPr>
          <w:rFonts w:ascii="Segoe UI Symbol" w:hAnsi="Segoe UI Symbol" w:cs="Segoe UI Symbol"/>
          <w:sz w:val="24"/>
          <w:szCs w:val="24"/>
        </w:rPr>
        <w:t>☐</w:t>
      </w:r>
      <w:r w:rsidRPr="00102618">
        <w:rPr>
          <w:rFonts w:ascii="Garamond" w:hAnsi="Garamond"/>
          <w:sz w:val="24"/>
          <w:szCs w:val="24"/>
        </w:rPr>
        <w:t xml:space="preserve">  Trauma</w:t>
      </w:r>
      <w:proofErr w:type="gramEnd"/>
      <w:r w:rsidRPr="00102618">
        <w:rPr>
          <w:rFonts w:ascii="Garamond" w:hAnsi="Garamond"/>
          <w:sz w:val="24"/>
          <w:szCs w:val="24"/>
        </w:rPr>
        <w:t>-related avoidance, fragmentation, or emotional flooding.</w:t>
      </w:r>
    </w:p>
    <w:p w14:paraId="04C20B08" w14:textId="77777777" w:rsidR="00E3316C" w:rsidRPr="00102618" w:rsidRDefault="00000000">
      <w:pPr>
        <w:spacing w:after="60"/>
        <w:ind w:left="360" w:hanging="360"/>
        <w:rPr>
          <w:rFonts w:ascii="Garamond" w:hAnsi="Garamond"/>
          <w:sz w:val="24"/>
          <w:szCs w:val="24"/>
        </w:rPr>
      </w:pPr>
      <w:proofErr w:type="gramStart"/>
      <w:r w:rsidRPr="00102618">
        <w:rPr>
          <w:rFonts w:ascii="Segoe UI Symbol" w:hAnsi="Segoe UI Symbol" w:cs="Segoe UI Symbol"/>
          <w:sz w:val="24"/>
          <w:szCs w:val="24"/>
        </w:rPr>
        <w:t>☐</w:t>
      </w:r>
      <w:r w:rsidRPr="00102618">
        <w:rPr>
          <w:rFonts w:ascii="Garamond" w:hAnsi="Garamond"/>
          <w:sz w:val="24"/>
          <w:szCs w:val="24"/>
        </w:rPr>
        <w:t xml:space="preserve">  Shame</w:t>
      </w:r>
      <w:proofErr w:type="gramEnd"/>
      <w:r w:rsidRPr="00102618">
        <w:rPr>
          <w:rFonts w:ascii="Garamond" w:hAnsi="Garamond"/>
          <w:sz w:val="24"/>
          <w:szCs w:val="24"/>
        </w:rPr>
        <w:t>, humiliation, taboo, or fear of social consequences.</w:t>
      </w:r>
    </w:p>
    <w:p w14:paraId="232DF27F" w14:textId="77777777" w:rsidR="00E3316C" w:rsidRPr="00102618" w:rsidRDefault="00000000">
      <w:pPr>
        <w:spacing w:after="60"/>
        <w:ind w:left="360" w:hanging="360"/>
        <w:rPr>
          <w:rFonts w:ascii="Garamond" w:hAnsi="Garamond"/>
          <w:sz w:val="24"/>
          <w:szCs w:val="24"/>
        </w:rPr>
      </w:pPr>
      <w:proofErr w:type="gramStart"/>
      <w:r w:rsidRPr="00102618">
        <w:rPr>
          <w:rFonts w:ascii="Segoe UI Symbol" w:hAnsi="Segoe UI Symbol" w:cs="Segoe UI Symbol"/>
          <w:sz w:val="24"/>
          <w:szCs w:val="24"/>
        </w:rPr>
        <w:t>☐</w:t>
      </w:r>
      <w:r w:rsidRPr="00102618">
        <w:rPr>
          <w:rFonts w:ascii="Garamond" w:hAnsi="Garamond"/>
          <w:sz w:val="24"/>
          <w:szCs w:val="24"/>
        </w:rPr>
        <w:t xml:space="preserve">  Fear</w:t>
      </w:r>
      <w:proofErr w:type="gramEnd"/>
      <w:r w:rsidRPr="00102618">
        <w:rPr>
          <w:rFonts w:ascii="Garamond" w:hAnsi="Garamond"/>
          <w:sz w:val="24"/>
          <w:szCs w:val="24"/>
        </w:rPr>
        <w:t xml:space="preserve"> of retaliation by family, community, persecutors, or authorities.</w:t>
      </w:r>
    </w:p>
    <w:p w14:paraId="34BCBBA4" w14:textId="77777777" w:rsidR="00E3316C" w:rsidRPr="00102618" w:rsidRDefault="00000000">
      <w:pPr>
        <w:spacing w:after="60"/>
        <w:ind w:left="360" w:hanging="360"/>
        <w:rPr>
          <w:rFonts w:ascii="Garamond" w:hAnsi="Garamond"/>
          <w:sz w:val="24"/>
          <w:szCs w:val="24"/>
        </w:rPr>
      </w:pPr>
      <w:proofErr w:type="gramStart"/>
      <w:r w:rsidRPr="00102618">
        <w:rPr>
          <w:rFonts w:ascii="Segoe UI Symbol" w:hAnsi="Segoe UI Symbol" w:cs="Segoe UI Symbol"/>
          <w:sz w:val="24"/>
          <w:szCs w:val="24"/>
        </w:rPr>
        <w:t>☐</w:t>
      </w:r>
      <w:r w:rsidRPr="00102618">
        <w:rPr>
          <w:rFonts w:ascii="Garamond" w:hAnsi="Garamond"/>
          <w:sz w:val="24"/>
          <w:szCs w:val="24"/>
        </w:rPr>
        <w:t xml:space="preserve">  Fear</w:t>
      </w:r>
      <w:proofErr w:type="gramEnd"/>
      <w:r w:rsidRPr="00102618">
        <w:rPr>
          <w:rFonts w:ascii="Garamond" w:hAnsi="Garamond"/>
          <w:sz w:val="24"/>
          <w:szCs w:val="24"/>
        </w:rPr>
        <w:t xml:space="preserve"> of not being believed or fear of seeming inconsistent.</w:t>
      </w:r>
    </w:p>
    <w:p w14:paraId="477763AF" w14:textId="77777777" w:rsidR="00E3316C" w:rsidRPr="00102618" w:rsidRDefault="00000000">
      <w:pPr>
        <w:spacing w:after="60"/>
        <w:ind w:left="360" w:hanging="360"/>
        <w:rPr>
          <w:rFonts w:ascii="Garamond" w:hAnsi="Garamond"/>
          <w:sz w:val="24"/>
          <w:szCs w:val="24"/>
        </w:rPr>
      </w:pPr>
      <w:proofErr w:type="gramStart"/>
      <w:r w:rsidRPr="00102618">
        <w:rPr>
          <w:rFonts w:ascii="Segoe UI Symbol" w:hAnsi="Segoe UI Symbol" w:cs="Segoe UI Symbol"/>
          <w:sz w:val="24"/>
          <w:szCs w:val="24"/>
        </w:rPr>
        <w:lastRenderedPageBreak/>
        <w:t>☐</w:t>
      </w:r>
      <w:r w:rsidRPr="00102618">
        <w:rPr>
          <w:rFonts w:ascii="Garamond" w:hAnsi="Garamond"/>
          <w:sz w:val="24"/>
          <w:szCs w:val="24"/>
        </w:rPr>
        <w:t xml:space="preserve">  Distrust</w:t>
      </w:r>
      <w:proofErr w:type="gramEnd"/>
      <w:r w:rsidRPr="00102618">
        <w:rPr>
          <w:rFonts w:ascii="Garamond" w:hAnsi="Garamond"/>
          <w:sz w:val="24"/>
          <w:szCs w:val="24"/>
        </w:rPr>
        <w:t xml:space="preserve"> of authorities, lawyers, interpreters, or institutions.</w:t>
      </w:r>
    </w:p>
    <w:p w14:paraId="4A3819FF" w14:textId="77777777" w:rsidR="00E3316C" w:rsidRPr="00102618" w:rsidRDefault="00000000">
      <w:pPr>
        <w:spacing w:after="60"/>
        <w:ind w:left="360" w:hanging="360"/>
        <w:rPr>
          <w:rFonts w:ascii="Garamond" w:hAnsi="Garamond"/>
          <w:sz w:val="24"/>
          <w:szCs w:val="24"/>
        </w:rPr>
      </w:pPr>
      <w:proofErr w:type="gramStart"/>
      <w:r w:rsidRPr="00102618">
        <w:rPr>
          <w:rFonts w:ascii="Segoe UI Symbol" w:hAnsi="Segoe UI Symbol" w:cs="Segoe UI Symbol"/>
          <w:sz w:val="24"/>
          <w:szCs w:val="24"/>
        </w:rPr>
        <w:t>☐</w:t>
      </w:r>
      <w:r w:rsidRPr="00102618">
        <w:rPr>
          <w:rFonts w:ascii="Garamond" w:hAnsi="Garamond"/>
          <w:sz w:val="24"/>
          <w:szCs w:val="24"/>
        </w:rPr>
        <w:t xml:space="preserve">  Concern</w:t>
      </w:r>
      <w:proofErr w:type="gramEnd"/>
      <w:r w:rsidRPr="00102618">
        <w:rPr>
          <w:rFonts w:ascii="Garamond" w:hAnsi="Garamond"/>
          <w:sz w:val="24"/>
          <w:szCs w:val="24"/>
        </w:rPr>
        <w:t xml:space="preserve"> about family consequences or community reputation.</w:t>
      </w:r>
    </w:p>
    <w:p w14:paraId="654A3B47" w14:textId="77777777" w:rsidR="00E3316C" w:rsidRPr="00102618" w:rsidRDefault="00000000">
      <w:pPr>
        <w:spacing w:after="60"/>
        <w:ind w:left="360" w:hanging="360"/>
        <w:rPr>
          <w:rFonts w:ascii="Garamond" w:hAnsi="Garamond"/>
          <w:sz w:val="24"/>
          <w:szCs w:val="24"/>
        </w:rPr>
      </w:pPr>
      <w:proofErr w:type="gramStart"/>
      <w:r w:rsidRPr="00102618">
        <w:rPr>
          <w:rFonts w:ascii="Segoe UI Symbol" w:hAnsi="Segoe UI Symbol" w:cs="Segoe UI Symbol"/>
          <w:sz w:val="24"/>
          <w:szCs w:val="24"/>
        </w:rPr>
        <w:t>☐</w:t>
      </w:r>
      <w:r w:rsidRPr="00102618">
        <w:rPr>
          <w:rFonts w:ascii="Garamond" w:hAnsi="Garamond"/>
          <w:sz w:val="24"/>
          <w:szCs w:val="24"/>
        </w:rPr>
        <w:t xml:space="preserve">  Language</w:t>
      </w:r>
      <w:proofErr w:type="gramEnd"/>
      <w:r w:rsidRPr="00102618">
        <w:rPr>
          <w:rFonts w:ascii="Garamond" w:hAnsi="Garamond"/>
          <w:sz w:val="24"/>
          <w:szCs w:val="24"/>
        </w:rPr>
        <w:t xml:space="preserve"> barriers, dialect mismatch, or interpretation problems.</w:t>
      </w:r>
    </w:p>
    <w:p w14:paraId="6BD1055B" w14:textId="77777777" w:rsidR="00E3316C" w:rsidRPr="00102618" w:rsidRDefault="00000000">
      <w:pPr>
        <w:spacing w:after="60"/>
        <w:ind w:left="360" w:hanging="360"/>
        <w:rPr>
          <w:rFonts w:ascii="Garamond" w:hAnsi="Garamond"/>
          <w:sz w:val="24"/>
          <w:szCs w:val="24"/>
        </w:rPr>
      </w:pPr>
      <w:proofErr w:type="gramStart"/>
      <w:r w:rsidRPr="00102618">
        <w:rPr>
          <w:rFonts w:ascii="Segoe UI Symbol" w:hAnsi="Segoe UI Symbol" w:cs="Segoe UI Symbol"/>
          <w:sz w:val="24"/>
          <w:szCs w:val="24"/>
        </w:rPr>
        <w:t>☐</w:t>
      </w:r>
      <w:r w:rsidRPr="00102618">
        <w:rPr>
          <w:rFonts w:ascii="Garamond" w:hAnsi="Garamond"/>
          <w:sz w:val="24"/>
          <w:szCs w:val="24"/>
        </w:rPr>
        <w:t xml:space="preserve">  Cultural</w:t>
      </w:r>
      <w:proofErr w:type="gramEnd"/>
      <w:r w:rsidRPr="00102618">
        <w:rPr>
          <w:rFonts w:ascii="Garamond" w:hAnsi="Garamond"/>
          <w:sz w:val="24"/>
          <w:szCs w:val="24"/>
        </w:rPr>
        <w:t xml:space="preserve"> norms against discussing violence, sexuality, shame, family conflict, or mental distress.</w:t>
      </w:r>
    </w:p>
    <w:p w14:paraId="4CC769D8" w14:textId="77777777" w:rsidR="00E3316C" w:rsidRPr="00102618" w:rsidRDefault="00000000">
      <w:pPr>
        <w:spacing w:after="60"/>
        <w:ind w:left="360" w:hanging="360"/>
        <w:rPr>
          <w:rFonts w:ascii="Garamond" w:hAnsi="Garamond"/>
          <w:sz w:val="24"/>
          <w:szCs w:val="24"/>
        </w:rPr>
      </w:pPr>
      <w:proofErr w:type="gramStart"/>
      <w:r w:rsidRPr="00102618">
        <w:rPr>
          <w:rFonts w:ascii="Segoe UI Symbol" w:hAnsi="Segoe UI Symbol" w:cs="Segoe UI Symbol"/>
          <w:sz w:val="24"/>
          <w:szCs w:val="24"/>
        </w:rPr>
        <w:t>☐</w:t>
      </w:r>
      <w:r w:rsidRPr="00102618">
        <w:rPr>
          <w:rFonts w:ascii="Garamond" w:hAnsi="Garamond"/>
          <w:sz w:val="24"/>
          <w:szCs w:val="24"/>
        </w:rPr>
        <w:t xml:space="preserve">  Not</w:t>
      </w:r>
      <w:proofErr w:type="gramEnd"/>
      <w:r w:rsidRPr="00102618">
        <w:rPr>
          <w:rFonts w:ascii="Garamond" w:hAnsi="Garamond"/>
          <w:sz w:val="24"/>
          <w:szCs w:val="24"/>
        </w:rPr>
        <w:t xml:space="preserve"> understanding legal relevance at the earlier stage.</w:t>
      </w:r>
    </w:p>
    <w:p w14:paraId="193471FE" w14:textId="77777777" w:rsidR="00E3316C" w:rsidRPr="00102618" w:rsidRDefault="00000000">
      <w:pPr>
        <w:spacing w:after="60"/>
        <w:ind w:left="360" w:hanging="360"/>
        <w:rPr>
          <w:rFonts w:ascii="Garamond" w:hAnsi="Garamond"/>
          <w:sz w:val="24"/>
          <w:szCs w:val="24"/>
        </w:rPr>
      </w:pPr>
      <w:proofErr w:type="gramStart"/>
      <w:r w:rsidRPr="00102618">
        <w:rPr>
          <w:rFonts w:ascii="Segoe UI Symbol" w:hAnsi="Segoe UI Symbol" w:cs="Segoe UI Symbol"/>
          <w:sz w:val="24"/>
          <w:szCs w:val="24"/>
        </w:rPr>
        <w:t>☐</w:t>
      </w:r>
      <w:r w:rsidRPr="00102618">
        <w:rPr>
          <w:rFonts w:ascii="Garamond" w:hAnsi="Garamond"/>
          <w:sz w:val="24"/>
          <w:szCs w:val="24"/>
        </w:rPr>
        <w:t xml:space="preserve">  Practical</w:t>
      </w:r>
      <w:proofErr w:type="gramEnd"/>
      <w:r w:rsidRPr="00102618">
        <w:rPr>
          <w:rFonts w:ascii="Garamond" w:hAnsi="Garamond"/>
          <w:sz w:val="24"/>
          <w:szCs w:val="24"/>
        </w:rPr>
        <w:t xml:space="preserve"> time pressure, rushed intake, unstable living conditions, or lack of service knowledge.</w:t>
      </w:r>
    </w:p>
    <w:p w14:paraId="0C05CDAE" w14:textId="77777777" w:rsidR="00E3316C" w:rsidRPr="00102618" w:rsidRDefault="00000000">
      <w:pPr>
        <w:spacing w:after="60"/>
        <w:ind w:left="360" w:hanging="360"/>
        <w:rPr>
          <w:rFonts w:ascii="Garamond" w:hAnsi="Garamond"/>
          <w:sz w:val="24"/>
          <w:szCs w:val="24"/>
        </w:rPr>
      </w:pPr>
      <w:proofErr w:type="gramStart"/>
      <w:r w:rsidRPr="00102618">
        <w:rPr>
          <w:rFonts w:ascii="Segoe UI Symbol" w:hAnsi="Segoe UI Symbol" w:cs="Segoe UI Symbol"/>
          <w:sz w:val="24"/>
          <w:szCs w:val="24"/>
        </w:rPr>
        <w:t>☐</w:t>
      </w:r>
      <w:r w:rsidRPr="00102618">
        <w:rPr>
          <w:rFonts w:ascii="Garamond" w:hAnsi="Garamond"/>
          <w:sz w:val="24"/>
          <w:szCs w:val="24"/>
        </w:rPr>
        <w:t xml:space="preserve">  Fear</w:t>
      </w:r>
      <w:proofErr w:type="gramEnd"/>
      <w:r w:rsidRPr="00102618">
        <w:rPr>
          <w:rFonts w:ascii="Garamond" w:hAnsi="Garamond"/>
          <w:sz w:val="24"/>
          <w:szCs w:val="24"/>
        </w:rPr>
        <w:t xml:space="preserve"> that disclosure would expose, endanger, or burden family members.</w:t>
      </w:r>
    </w:p>
    <w:p w14:paraId="55B04CB9" w14:textId="77777777" w:rsidR="00E3316C" w:rsidRPr="00102618" w:rsidRDefault="00000000">
      <w:pPr>
        <w:spacing w:after="60"/>
        <w:ind w:left="360" w:hanging="360"/>
        <w:rPr>
          <w:rFonts w:ascii="Garamond" w:hAnsi="Garamond"/>
          <w:sz w:val="24"/>
          <w:szCs w:val="24"/>
        </w:rPr>
      </w:pPr>
      <w:proofErr w:type="gramStart"/>
      <w:r w:rsidRPr="00102618">
        <w:rPr>
          <w:rFonts w:ascii="Segoe UI Symbol" w:hAnsi="Segoe UI Symbol" w:cs="Segoe UI Symbol"/>
          <w:sz w:val="24"/>
          <w:szCs w:val="24"/>
        </w:rPr>
        <w:t>☐</w:t>
      </w:r>
      <w:r w:rsidRPr="00102618">
        <w:rPr>
          <w:rFonts w:ascii="Garamond" w:hAnsi="Garamond"/>
          <w:sz w:val="24"/>
          <w:szCs w:val="24"/>
        </w:rPr>
        <w:t xml:space="preserve">  Prior</w:t>
      </w:r>
      <w:proofErr w:type="gramEnd"/>
      <w:r w:rsidRPr="00102618">
        <w:rPr>
          <w:rFonts w:ascii="Garamond" w:hAnsi="Garamond"/>
          <w:sz w:val="24"/>
          <w:szCs w:val="24"/>
        </w:rPr>
        <w:t xml:space="preserve"> bad advice, rushed prior screening, or earlier document trails that captured only part of the story.</w:t>
      </w:r>
    </w:p>
    <w:p w14:paraId="677C3E1B" w14:textId="77777777" w:rsidR="00E3316C" w:rsidRPr="00102618" w:rsidRDefault="00000000">
      <w:pPr>
        <w:spacing w:after="60"/>
        <w:ind w:left="360" w:hanging="360"/>
        <w:rPr>
          <w:rFonts w:ascii="Garamond" w:hAnsi="Garamond"/>
          <w:sz w:val="24"/>
          <w:szCs w:val="24"/>
        </w:rPr>
      </w:pPr>
      <w:proofErr w:type="gramStart"/>
      <w:r w:rsidRPr="00102618">
        <w:rPr>
          <w:rFonts w:ascii="Segoe UI Symbol" w:hAnsi="Segoe UI Symbol" w:cs="Segoe UI Symbol"/>
          <w:sz w:val="24"/>
          <w:szCs w:val="24"/>
        </w:rPr>
        <w:t>☐</w:t>
      </w:r>
      <w:r w:rsidRPr="00102618">
        <w:rPr>
          <w:rFonts w:ascii="Garamond" w:hAnsi="Garamond"/>
          <w:sz w:val="24"/>
          <w:szCs w:val="24"/>
        </w:rPr>
        <w:t xml:space="preserve">  Not</w:t>
      </w:r>
      <w:proofErr w:type="gramEnd"/>
      <w:r w:rsidRPr="00102618">
        <w:rPr>
          <w:rFonts w:ascii="Garamond" w:hAnsi="Garamond"/>
          <w:sz w:val="24"/>
          <w:szCs w:val="24"/>
        </w:rPr>
        <w:t xml:space="preserve"> knowing what services or protections existed, or whether disclosure would help.</w:t>
      </w:r>
    </w:p>
    <w:p w14:paraId="2467770A" w14:textId="77777777" w:rsidR="00E3316C" w:rsidRDefault="00E3316C">
      <w:pPr>
        <w:spacing w:before="60" w:after="60"/>
        <w:rPr>
          <w:rFonts w:ascii="Garamond" w:hAnsi="Garamond"/>
          <w:sz w:val="24"/>
          <w:szCs w:val="24"/>
        </w:rPr>
      </w:pPr>
    </w:p>
    <w:p w14:paraId="082D6F9E" w14:textId="77777777" w:rsidR="00102618" w:rsidRPr="00E40C5D" w:rsidRDefault="00102618">
      <w:pPr>
        <w:spacing w:before="60" w:after="60"/>
        <w:rPr>
          <w:rFonts w:ascii="Garamond" w:hAnsi="Garamond"/>
          <w:color w:val="000000" w:themeColor="text1"/>
          <w:sz w:val="24"/>
          <w:szCs w:val="24"/>
        </w:rPr>
      </w:pPr>
    </w:p>
    <w:p w14:paraId="304E7D52" w14:textId="77777777" w:rsidR="00E3316C" w:rsidRPr="00E40C5D" w:rsidRDefault="00000000">
      <w:pPr>
        <w:pStyle w:val="Heading3"/>
        <w:rPr>
          <w:rFonts w:ascii="Garamond" w:hAnsi="Garamond"/>
          <w:color w:val="000000" w:themeColor="text1"/>
          <w:sz w:val="24"/>
          <w:szCs w:val="24"/>
        </w:rPr>
      </w:pPr>
      <w:r w:rsidRPr="00E40C5D">
        <w:rPr>
          <w:rFonts w:ascii="Garamond" w:hAnsi="Garamond"/>
          <w:color w:val="000000" w:themeColor="text1"/>
          <w:sz w:val="24"/>
          <w:szCs w:val="24"/>
        </w:rPr>
        <w:t>9B.  Questions to Clarify Delay Without Blame</w:t>
      </w:r>
    </w:p>
    <w:p w14:paraId="4E2A7F97"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What</w:t>
      </w:r>
      <w:proofErr w:type="gramEnd"/>
      <w:r w:rsidRPr="00E40C5D">
        <w:rPr>
          <w:rFonts w:ascii="Garamond" w:hAnsi="Garamond"/>
          <w:color w:val="000000" w:themeColor="text1"/>
          <w:sz w:val="24"/>
          <w:szCs w:val="24"/>
        </w:rPr>
        <w:t xml:space="preserve"> made it hard to talk about this earlier?</w:t>
      </w:r>
    </w:p>
    <w:p w14:paraId="4F6DA4AA"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What</w:t>
      </w:r>
      <w:proofErr w:type="gramEnd"/>
      <w:r w:rsidRPr="00E40C5D">
        <w:rPr>
          <w:rFonts w:ascii="Garamond" w:hAnsi="Garamond"/>
          <w:color w:val="000000" w:themeColor="text1"/>
          <w:sz w:val="24"/>
          <w:szCs w:val="24"/>
        </w:rPr>
        <w:t xml:space="preserve"> would have made it feel safer to say this sooner?</w:t>
      </w:r>
    </w:p>
    <w:p w14:paraId="3C52DB4F"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Is</w:t>
      </w:r>
      <w:proofErr w:type="gramEnd"/>
      <w:r w:rsidRPr="00E40C5D">
        <w:rPr>
          <w:rFonts w:ascii="Garamond" w:hAnsi="Garamond"/>
          <w:color w:val="000000" w:themeColor="text1"/>
          <w:sz w:val="24"/>
          <w:szCs w:val="24"/>
        </w:rPr>
        <w:t xml:space="preserve"> there a reason this became easier or possible to discuss now?</w:t>
      </w:r>
    </w:p>
    <w:p w14:paraId="51B43F76"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Were</w:t>
      </w:r>
      <w:proofErr w:type="gramEnd"/>
      <w:r w:rsidRPr="00E40C5D">
        <w:rPr>
          <w:rFonts w:ascii="Garamond" w:hAnsi="Garamond"/>
          <w:color w:val="000000" w:themeColor="text1"/>
          <w:sz w:val="24"/>
          <w:szCs w:val="24"/>
        </w:rPr>
        <w:t xml:space="preserve"> there things you were afraid might happen if you shared this?</w:t>
      </w:r>
    </w:p>
    <w:p w14:paraId="0AF382F0"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Was</w:t>
      </w:r>
      <w:proofErr w:type="gramEnd"/>
      <w:r w:rsidRPr="00E40C5D">
        <w:rPr>
          <w:rFonts w:ascii="Garamond" w:hAnsi="Garamond"/>
          <w:color w:val="000000" w:themeColor="text1"/>
          <w:sz w:val="24"/>
          <w:szCs w:val="24"/>
        </w:rPr>
        <w:t xml:space="preserve"> there something about the setting, the interpreter, the timing, or the relationship that made this harder?</w:t>
      </w:r>
    </w:p>
    <w:p w14:paraId="3AF2E856" w14:textId="77777777" w:rsidR="00E3316C" w:rsidRPr="00E40C5D" w:rsidRDefault="00E3316C">
      <w:pPr>
        <w:spacing w:before="60" w:after="60"/>
        <w:rPr>
          <w:rFonts w:ascii="Garamond" w:hAnsi="Garamond"/>
          <w:color w:val="000000" w:themeColor="text1"/>
          <w:sz w:val="24"/>
          <w:szCs w:val="24"/>
        </w:rPr>
      </w:pPr>
    </w:p>
    <w:p w14:paraId="13C7F919" w14:textId="77777777" w:rsidR="00E3316C" w:rsidRPr="00E40C5D" w:rsidRDefault="00000000">
      <w:pPr>
        <w:pStyle w:val="Heading3"/>
        <w:rPr>
          <w:rFonts w:ascii="Garamond" w:hAnsi="Garamond"/>
          <w:color w:val="000000" w:themeColor="text1"/>
          <w:sz w:val="24"/>
          <w:szCs w:val="24"/>
        </w:rPr>
      </w:pPr>
      <w:r w:rsidRPr="00E40C5D">
        <w:rPr>
          <w:rFonts w:ascii="Garamond" w:hAnsi="Garamond"/>
          <w:color w:val="000000" w:themeColor="text1"/>
          <w:sz w:val="24"/>
          <w:szCs w:val="24"/>
        </w:rPr>
        <w:t>9C.  Suggested Neutral Documentation Language</w:t>
      </w:r>
    </w:p>
    <w:p w14:paraId="79ABDCFD" w14:textId="77777777" w:rsidR="00E3316C" w:rsidRPr="00E40C5D" w:rsidRDefault="00000000">
      <w:pPr>
        <w:spacing w:after="60"/>
        <w:ind w:left="720"/>
        <w:rPr>
          <w:rFonts w:ascii="Garamond" w:hAnsi="Garamond"/>
          <w:color w:val="000000" w:themeColor="text1"/>
          <w:sz w:val="24"/>
          <w:szCs w:val="24"/>
        </w:rPr>
      </w:pPr>
      <w:r w:rsidRPr="00E40C5D">
        <w:rPr>
          <w:rFonts w:ascii="Garamond" w:hAnsi="Garamond"/>
          <w:color w:val="000000" w:themeColor="text1"/>
          <w:sz w:val="24"/>
          <w:szCs w:val="24"/>
        </w:rPr>
        <w:t>"Additional detail emerged over time as trust developed."</w:t>
      </w:r>
    </w:p>
    <w:p w14:paraId="5149DCDB" w14:textId="77777777" w:rsidR="00E3316C" w:rsidRPr="00E40C5D" w:rsidRDefault="00000000">
      <w:pPr>
        <w:spacing w:after="60"/>
        <w:ind w:left="720"/>
        <w:rPr>
          <w:rFonts w:ascii="Garamond" w:hAnsi="Garamond"/>
          <w:color w:val="000000" w:themeColor="text1"/>
          <w:sz w:val="24"/>
          <w:szCs w:val="24"/>
        </w:rPr>
      </w:pPr>
      <w:r w:rsidRPr="00E40C5D">
        <w:rPr>
          <w:rFonts w:ascii="Garamond" w:hAnsi="Garamond"/>
          <w:color w:val="000000" w:themeColor="text1"/>
          <w:sz w:val="24"/>
          <w:szCs w:val="24"/>
        </w:rPr>
        <w:t>"The client described difficulty discussing this topic initially."</w:t>
      </w:r>
    </w:p>
    <w:p w14:paraId="19AA9CA5" w14:textId="77777777" w:rsidR="00E3316C" w:rsidRPr="00E40C5D" w:rsidRDefault="00000000">
      <w:pPr>
        <w:spacing w:after="60"/>
        <w:ind w:left="720"/>
        <w:rPr>
          <w:rFonts w:ascii="Garamond" w:hAnsi="Garamond"/>
          <w:color w:val="000000" w:themeColor="text1"/>
          <w:sz w:val="24"/>
          <w:szCs w:val="24"/>
        </w:rPr>
      </w:pPr>
      <w:r w:rsidRPr="00E40C5D">
        <w:rPr>
          <w:rFonts w:ascii="Garamond" w:hAnsi="Garamond"/>
          <w:color w:val="000000" w:themeColor="text1"/>
          <w:sz w:val="24"/>
          <w:szCs w:val="24"/>
        </w:rPr>
        <w:t>"The client reported barriers to disclosure including fear, shame, and language limitations."</w:t>
      </w:r>
    </w:p>
    <w:p w14:paraId="41482CAD" w14:textId="77777777" w:rsidR="00E3316C" w:rsidRPr="00E40C5D" w:rsidRDefault="00000000">
      <w:pPr>
        <w:spacing w:after="60"/>
        <w:ind w:left="720"/>
        <w:rPr>
          <w:rFonts w:ascii="Garamond" w:hAnsi="Garamond"/>
          <w:color w:val="000000" w:themeColor="text1"/>
          <w:sz w:val="24"/>
          <w:szCs w:val="24"/>
        </w:rPr>
      </w:pPr>
      <w:r w:rsidRPr="00E40C5D">
        <w:rPr>
          <w:rFonts w:ascii="Garamond" w:hAnsi="Garamond"/>
          <w:color w:val="000000" w:themeColor="text1"/>
          <w:sz w:val="24"/>
          <w:szCs w:val="24"/>
        </w:rPr>
        <w:t>"The client was not ready to discuss this in the first meeting."</w:t>
      </w:r>
    </w:p>
    <w:p w14:paraId="08E6AE4F" w14:textId="77777777" w:rsidR="00E3316C" w:rsidRPr="00E40C5D" w:rsidRDefault="00000000">
      <w:pPr>
        <w:spacing w:after="60"/>
        <w:ind w:left="720"/>
        <w:rPr>
          <w:rFonts w:ascii="Garamond" w:hAnsi="Garamond"/>
          <w:color w:val="000000" w:themeColor="text1"/>
          <w:sz w:val="24"/>
          <w:szCs w:val="24"/>
        </w:rPr>
      </w:pPr>
      <w:r w:rsidRPr="00E40C5D">
        <w:rPr>
          <w:rFonts w:ascii="Garamond" w:hAnsi="Garamond"/>
          <w:color w:val="000000" w:themeColor="text1"/>
          <w:sz w:val="24"/>
          <w:szCs w:val="24"/>
        </w:rPr>
        <w:t>"The timing and sequence of disclosure appear related to distress, fear, and contextual barriers rather than to the absence of the event."</w:t>
      </w:r>
    </w:p>
    <w:p w14:paraId="14B9CECA" w14:textId="77777777" w:rsidR="00E3316C" w:rsidRPr="00E40C5D" w:rsidRDefault="00E3316C">
      <w:pPr>
        <w:spacing w:before="60" w:after="60"/>
        <w:rPr>
          <w:rFonts w:ascii="Garamond" w:hAnsi="Garamond"/>
          <w:color w:val="000000" w:themeColor="text1"/>
          <w:sz w:val="24"/>
          <w:szCs w:val="24"/>
        </w:rPr>
      </w:pPr>
    </w:p>
    <w:p w14:paraId="373ED6CD" w14:textId="77777777" w:rsidR="00E3316C" w:rsidRPr="00E40C5D" w:rsidRDefault="00000000">
      <w:pPr>
        <w:pStyle w:val="Heading3"/>
        <w:rPr>
          <w:rFonts w:ascii="Garamond" w:hAnsi="Garamond"/>
          <w:color w:val="000000" w:themeColor="text1"/>
          <w:sz w:val="24"/>
          <w:szCs w:val="24"/>
        </w:rPr>
      </w:pPr>
      <w:r w:rsidRPr="00E40C5D">
        <w:rPr>
          <w:rFonts w:ascii="Garamond" w:hAnsi="Garamond"/>
          <w:color w:val="000000" w:themeColor="text1"/>
          <w:sz w:val="24"/>
          <w:szCs w:val="24"/>
        </w:rPr>
        <w:t>9D.  Developmental and Youth Considerations</w:t>
      </w:r>
    </w:p>
    <w:p w14:paraId="00C351E4" w14:textId="77777777" w:rsidR="00E3316C" w:rsidRPr="00102618" w:rsidRDefault="00000000">
      <w:pPr>
        <w:spacing w:after="120"/>
        <w:rPr>
          <w:rFonts w:ascii="Garamond" w:hAnsi="Garamond"/>
          <w:sz w:val="24"/>
          <w:szCs w:val="24"/>
        </w:rPr>
      </w:pPr>
      <w:r w:rsidRPr="00102618">
        <w:rPr>
          <w:rFonts w:ascii="Garamond" w:hAnsi="Garamond"/>
          <w:sz w:val="24"/>
          <w:szCs w:val="24"/>
        </w:rPr>
        <w:t>Use this section when the client is a minor, was harmed as a minor, or carries early trauma or traumatic separation that may still shape disclosure and trust (U.S. Committee for Refugees and Immigrants, 2021). Developmental fragmentation should not be read as coaching or dishonesty; it reflects how memory is stored and retrieved at different stages of life.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45"/>
        <w:gridCol w:w="3510"/>
        <w:gridCol w:w="3965"/>
      </w:tblGrid>
      <w:tr w:rsidR="00E3316C" w:rsidRPr="00102618" w14:paraId="140286FA" w14:textId="77777777" w:rsidTr="00102618">
        <w:trPr>
          <w:tblHeader/>
        </w:trPr>
        <w:tc>
          <w:tcPr>
            <w:tcW w:w="2245"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60293C04" w14:textId="77777777" w:rsidR="00E3316C" w:rsidRPr="00102618" w:rsidRDefault="00000000">
            <w:pPr>
              <w:rPr>
                <w:rFonts w:ascii="Garamond" w:hAnsi="Garamond"/>
                <w:sz w:val="24"/>
                <w:szCs w:val="24"/>
              </w:rPr>
            </w:pPr>
            <w:r w:rsidRPr="00102618">
              <w:rPr>
                <w:rFonts w:ascii="Garamond" w:hAnsi="Garamond"/>
                <w:b/>
                <w:bCs/>
                <w:color w:val="FFFFFF"/>
                <w:sz w:val="24"/>
                <w:szCs w:val="24"/>
              </w:rPr>
              <w:lastRenderedPageBreak/>
              <w:t>Pattern to Consider</w:t>
            </w:r>
          </w:p>
        </w:tc>
        <w:tc>
          <w:tcPr>
            <w:tcW w:w="351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28F05B65" w14:textId="77777777" w:rsidR="00E3316C" w:rsidRPr="00102618" w:rsidRDefault="00000000">
            <w:pPr>
              <w:rPr>
                <w:rFonts w:ascii="Garamond" w:hAnsi="Garamond"/>
                <w:sz w:val="24"/>
                <w:szCs w:val="24"/>
              </w:rPr>
            </w:pPr>
            <w:r w:rsidRPr="00102618">
              <w:rPr>
                <w:rFonts w:ascii="Garamond" w:hAnsi="Garamond"/>
                <w:b/>
                <w:bCs/>
                <w:color w:val="FFFFFF"/>
                <w:sz w:val="24"/>
                <w:szCs w:val="24"/>
              </w:rPr>
              <w:t>How It May Show Up</w:t>
            </w:r>
          </w:p>
        </w:tc>
        <w:tc>
          <w:tcPr>
            <w:tcW w:w="3965"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27EEECE3" w14:textId="77777777" w:rsidR="00E3316C" w:rsidRPr="00102618" w:rsidRDefault="00000000">
            <w:pPr>
              <w:rPr>
                <w:rFonts w:ascii="Garamond" w:hAnsi="Garamond"/>
                <w:sz w:val="24"/>
                <w:szCs w:val="24"/>
              </w:rPr>
            </w:pPr>
            <w:r w:rsidRPr="00102618">
              <w:rPr>
                <w:rFonts w:ascii="Garamond" w:hAnsi="Garamond"/>
                <w:b/>
                <w:bCs/>
                <w:color w:val="FFFFFF"/>
                <w:sz w:val="24"/>
                <w:szCs w:val="24"/>
              </w:rPr>
              <w:t>What to Do / Not Do</w:t>
            </w:r>
          </w:p>
        </w:tc>
      </w:tr>
      <w:tr w:rsidR="00E3316C" w:rsidRPr="00102618" w14:paraId="15309D2E" w14:textId="77777777" w:rsidTr="00102618">
        <w:tc>
          <w:tcPr>
            <w:tcW w:w="224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4000D560" w14:textId="77777777" w:rsidR="00E3316C" w:rsidRPr="00102618" w:rsidRDefault="00000000">
            <w:pPr>
              <w:rPr>
                <w:rFonts w:ascii="Garamond" w:hAnsi="Garamond"/>
                <w:sz w:val="24"/>
                <w:szCs w:val="24"/>
              </w:rPr>
            </w:pPr>
            <w:r w:rsidRPr="00102618">
              <w:rPr>
                <w:rFonts w:ascii="Garamond" w:hAnsi="Garamond"/>
                <w:sz w:val="24"/>
                <w:szCs w:val="24"/>
              </w:rPr>
              <w:t>Early childhood trauma</w:t>
            </w:r>
          </w:p>
        </w:tc>
        <w:tc>
          <w:tcPr>
            <w:tcW w:w="351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7B069252" w14:textId="77777777" w:rsidR="00E3316C" w:rsidRPr="00102618" w:rsidRDefault="00000000">
            <w:pPr>
              <w:rPr>
                <w:rFonts w:ascii="Garamond" w:hAnsi="Garamond"/>
                <w:sz w:val="24"/>
                <w:szCs w:val="24"/>
              </w:rPr>
            </w:pPr>
            <w:r w:rsidRPr="00102618">
              <w:rPr>
                <w:rFonts w:ascii="Garamond" w:hAnsi="Garamond"/>
                <w:sz w:val="24"/>
                <w:szCs w:val="24"/>
              </w:rPr>
              <w:t>Memory may be stored in fragments, body sensations, or snapshots rather than event-by-event chronology.</w:t>
            </w:r>
          </w:p>
        </w:tc>
        <w:tc>
          <w:tcPr>
            <w:tcW w:w="39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46285ACF" w14:textId="77777777" w:rsidR="00E3316C" w:rsidRPr="00102618" w:rsidRDefault="00000000">
            <w:pPr>
              <w:rPr>
                <w:rFonts w:ascii="Garamond" w:hAnsi="Garamond"/>
                <w:sz w:val="24"/>
                <w:szCs w:val="24"/>
              </w:rPr>
            </w:pPr>
            <w:r w:rsidRPr="00102618">
              <w:rPr>
                <w:rFonts w:ascii="Garamond" w:hAnsi="Garamond"/>
                <w:sz w:val="24"/>
                <w:szCs w:val="24"/>
              </w:rPr>
              <w:t>Use developmental anchors, not pressure for exact dates. Do not read fragmented recall as coaching.</w:t>
            </w:r>
          </w:p>
        </w:tc>
      </w:tr>
      <w:tr w:rsidR="00E3316C" w:rsidRPr="00102618" w14:paraId="3F5E07A4" w14:textId="77777777" w:rsidTr="00102618">
        <w:tc>
          <w:tcPr>
            <w:tcW w:w="2245"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050AA95C" w14:textId="77777777" w:rsidR="00E3316C" w:rsidRPr="00102618" w:rsidRDefault="00000000">
            <w:pPr>
              <w:rPr>
                <w:rFonts w:ascii="Garamond" w:hAnsi="Garamond"/>
                <w:sz w:val="24"/>
                <w:szCs w:val="24"/>
              </w:rPr>
            </w:pPr>
            <w:r w:rsidRPr="00102618">
              <w:rPr>
                <w:rFonts w:ascii="Garamond" w:hAnsi="Garamond"/>
                <w:sz w:val="24"/>
                <w:szCs w:val="24"/>
              </w:rPr>
              <w:t>Traumatic separation from caregivers</w:t>
            </w:r>
          </w:p>
        </w:tc>
        <w:tc>
          <w:tcPr>
            <w:tcW w:w="351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050FD204" w14:textId="77777777" w:rsidR="00E3316C" w:rsidRPr="00102618" w:rsidRDefault="00000000">
            <w:pPr>
              <w:rPr>
                <w:rFonts w:ascii="Garamond" w:hAnsi="Garamond"/>
                <w:sz w:val="24"/>
                <w:szCs w:val="24"/>
              </w:rPr>
            </w:pPr>
            <w:r w:rsidRPr="00102618">
              <w:rPr>
                <w:rFonts w:ascii="Garamond" w:hAnsi="Garamond"/>
                <w:sz w:val="24"/>
                <w:szCs w:val="24"/>
              </w:rPr>
              <w:t>Distrust of authority figures, fear, withdrawal, separation anxiety, or confusion about why people leave.</w:t>
            </w:r>
          </w:p>
        </w:tc>
        <w:tc>
          <w:tcPr>
            <w:tcW w:w="3965"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4AF8A1A5" w14:textId="77777777" w:rsidR="00E3316C" w:rsidRPr="00102618" w:rsidRDefault="00000000">
            <w:pPr>
              <w:rPr>
                <w:rFonts w:ascii="Garamond" w:hAnsi="Garamond"/>
                <w:sz w:val="24"/>
                <w:szCs w:val="24"/>
              </w:rPr>
            </w:pPr>
            <w:r w:rsidRPr="00102618">
              <w:rPr>
                <w:rFonts w:ascii="Garamond" w:hAnsi="Garamond"/>
                <w:sz w:val="24"/>
                <w:szCs w:val="24"/>
              </w:rPr>
              <w:t>Name the difficulty, build predictability, reassure without overpromising, and avoid punitive interpretations.</w:t>
            </w:r>
          </w:p>
        </w:tc>
      </w:tr>
      <w:tr w:rsidR="00E3316C" w:rsidRPr="00102618" w14:paraId="4939D6F6" w14:textId="77777777" w:rsidTr="00102618">
        <w:tc>
          <w:tcPr>
            <w:tcW w:w="224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1557EA1C" w14:textId="77777777" w:rsidR="00E3316C" w:rsidRPr="00102618" w:rsidRDefault="00000000">
            <w:pPr>
              <w:rPr>
                <w:rFonts w:ascii="Garamond" w:hAnsi="Garamond"/>
                <w:sz w:val="24"/>
                <w:szCs w:val="24"/>
              </w:rPr>
            </w:pPr>
            <w:r w:rsidRPr="00102618">
              <w:rPr>
                <w:rFonts w:ascii="Garamond" w:hAnsi="Garamond"/>
                <w:sz w:val="24"/>
                <w:szCs w:val="24"/>
              </w:rPr>
              <w:t>School-age trauma responses</w:t>
            </w:r>
          </w:p>
        </w:tc>
        <w:tc>
          <w:tcPr>
            <w:tcW w:w="351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68BCEB3E" w14:textId="77777777" w:rsidR="00E3316C" w:rsidRPr="00102618" w:rsidRDefault="00000000">
            <w:pPr>
              <w:rPr>
                <w:rFonts w:ascii="Garamond" w:hAnsi="Garamond"/>
                <w:sz w:val="24"/>
                <w:szCs w:val="24"/>
              </w:rPr>
            </w:pPr>
            <w:r w:rsidRPr="00102618">
              <w:rPr>
                <w:rFonts w:ascii="Garamond" w:hAnsi="Garamond"/>
                <w:sz w:val="24"/>
                <w:szCs w:val="24"/>
              </w:rPr>
              <w:t>Withdrawal, concentration difficulty, nightmares, reenactment, aggressive or fearful behavior.</w:t>
            </w:r>
          </w:p>
        </w:tc>
        <w:tc>
          <w:tcPr>
            <w:tcW w:w="39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329996C5" w14:textId="77777777" w:rsidR="00E3316C" w:rsidRPr="00102618" w:rsidRDefault="00000000">
            <w:pPr>
              <w:rPr>
                <w:rFonts w:ascii="Garamond" w:hAnsi="Garamond"/>
                <w:sz w:val="24"/>
                <w:szCs w:val="24"/>
              </w:rPr>
            </w:pPr>
            <w:r w:rsidRPr="00102618">
              <w:rPr>
                <w:rFonts w:ascii="Garamond" w:hAnsi="Garamond"/>
                <w:sz w:val="24"/>
                <w:szCs w:val="24"/>
              </w:rPr>
              <w:t>Recognize trauma symptoms and document them as such if relevant to narration or functioning.</w:t>
            </w:r>
          </w:p>
        </w:tc>
      </w:tr>
      <w:tr w:rsidR="00E3316C" w:rsidRPr="00102618" w14:paraId="179E8EE0" w14:textId="77777777" w:rsidTr="00102618">
        <w:tc>
          <w:tcPr>
            <w:tcW w:w="2245"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4AF87B93" w14:textId="77777777" w:rsidR="00E3316C" w:rsidRPr="00102618" w:rsidRDefault="00000000">
            <w:pPr>
              <w:rPr>
                <w:rFonts w:ascii="Garamond" w:hAnsi="Garamond"/>
                <w:sz w:val="24"/>
                <w:szCs w:val="24"/>
              </w:rPr>
            </w:pPr>
            <w:r w:rsidRPr="00102618">
              <w:rPr>
                <w:rFonts w:ascii="Garamond" w:hAnsi="Garamond"/>
                <w:sz w:val="24"/>
                <w:szCs w:val="24"/>
              </w:rPr>
              <w:t>Adolescent trauma responses</w:t>
            </w:r>
          </w:p>
        </w:tc>
        <w:tc>
          <w:tcPr>
            <w:tcW w:w="351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39A998EF" w14:textId="77777777" w:rsidR="00E3316C" w:rsidRPr="00102618" w:rsidRDefault="00000000">
            <w:pPr>
              <w:rPr>
                <w:rFonts w:ascii="Garamond" w:hAnsi="Garamond"/>
                <w:sz w:val="24"/>
                <w:szCs w:val="24"/>
              </w:rPr>
            </w:pPr>
            <w:r w:rsidRPr="00102618">
              <w:rPr>
                <w:rFonts w:ascii="Garamond" w:hAnsi="Garamond"/>
                <w:sz w:val="24"/>
                <w:szCs w:val="24"/>
              </w:rPr>
              <w:t>Anxiety, shame, anger, risk-taking, suicidal thoughts, substance use, or revenge fantasies.</w:t>
            </w:r>
          </w:p>
        </w:tc>
        <w:tc>
          <w:tcPr>
            <w:tcW w:w="3965"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3A5CDD32" w14:textId="77777777" w:rsidR="00E3316C" w:rsidRPr="00102618" w:rsidRDefault="00000000">
            <w:pPr>
              <w:rPr>
                <w:rFonts w:ascii="Garamond" w:hAnsi="Garamond"/>
                <w:sz w:val="24"/>
                <w:szCs w:val="24"/>
              </w:rPr>
            </w:pPr>
            <w:r w:rsidRPr="00102618">
              <w:rPr>
                <w:rFonts w:ascii="Garamond" w:hAnsi="Garamond"/>
                <w:sz w:val="24"/>
                <w:szCs w:val="24"/>
              </w:rPr>
              <w:t xml:space="preserve">Slow the pace, clarify safety, and avoid </w:t>
            </w:r>
            <w:proofErr w:type="gramStart"/>
            <w:r w:rsidRPr="00102618">
              <w:rPr>
                <w:rFonts w:ascii="Garamond" w:hAnsi="Garamond"/>
                <w:sz w:val="24"/>
                <w:szCs w:val="24"/>
              </w:rPr>
              <w:t>assuming that</w:t>
            </w:r>
            <w:proofErr w:type="gramEnd"/>
            <w:r w:rsidRPr="00102618">
              <w:rPr>
                <w:rFonts w:ascii="Garamond" w:hAnsi="Garamond"/>
                <w:sz w:val="24"/>
                <w:szCs w:val="24"/>
              </w:rPr>
              <w:t xml:space="preserve"> dysregulation equals non-credibility.</w:t>
            </w:r>
          </w:p>
        </w:tc>
      </w:tr>
      <w:tr w:rsidR="00E3316C" w:rsidRPr="00102618" w14:paraId="30319038" w14:textId="77777777" w:rsidTr="00102618">
        <w:tc>
          <w:tcPr>
            <w:tcW w:w="224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38DBD455" w14:textId="77777777" w:rsidR="00E3316C" w:rsidRPr="00102618" w:rsidRDefault="00000000">
            <w:pPr>
              <w:rPr>
                <w:rFonts w:ascii="Garamond" w:hAnsi="Garamond"/>
                <w:sz w:val="24"/>
                <w:szCs w:val="24"/>
              </w:rPr>
            </w:pPr>
            <w:r w:rsidRPr="00102618">
              <w:rPr>
                <w:rFonts w:ascii="Garamond" w:hAnsi="Garamond"/>
                <w:sz w:val="24"/>
                <w:szCs w:val="24"/>
              </w:rPr>
              <w:t>Developmental age differs from chronological age</w:t>
            </w:r>
          </w:p>
        </w:tc>
        <w:tc>
          <w:tcPr>
            <w:tcW w:w="351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646D9A1E" w14:textId="77777777" w:rsidR="00E3316C" w:rsidRPr="00102618" w:rsidRDefault="00000000">
            <w:pPr>
              <w:rPr>
                <w:rFonts w:ascii="Garamond" w:hAnsi="Garamond"/>
                <w:sz w:val="24"/>
                <w:szCs w:val="24"/>
              </w:rPr>
            </w:pPr>
            <w:r w:rsidRPr="00102618">
              <w:rPr>
                <w:rFonts w:ascii="Garamond" w:hAnsi="Garamond"/>
                <w:sz w:val="24"/>
                <w:szCs w:val="24"/>
              </w:rPr>
              <w:t>A client may narrate based on maturity or functional ability rather than calendar age.</w:t>
            </w:r>
          </w:p>
        </w:tc>
        <w:tc>
          <w:tcPr>
            <w:tcW w:w="396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BBE578D" w14:textId="77777777" w:rsidR="00E3316C" w:rsidRPr="00102618" w:rsidRDefault="00000000">
            <w:pPr>
              <w:rPr>
                <w:rFonts w:ascii="Garamond" w:hAnsi="Garamond"/>
                <w:sz w:val="24"/>
                <w:szCs w:val="24"/>
              </w:rPr>
            </w:pPr>
            <w:r w:rsidRPr="00102618">
              <w:rPr>
                <w:rFonts w:ascii="Garamond" w:hAnsi="Garamond"/>
                <w:sz w:val="24"/>
                <w:szCs w:val="24"/>
              </w:rPr>
              <w:t>Document both chronological age and functional / developmental considerations when relevant.</w:t>
            </w:r>
          </w:p>
        </w:tc>
      </w:tr>
    </w:tbl>
    <w:p w14:paraId="6DDCBDD9" w14:textId="77777777" w:rsidR="00FE3655" w:rsidRPr="00102618" w:rsidRDefault="00FE3655">
      <w:pPr>
        <w:spacing w:before="60" w:after="60"/>
        <w:rPr>
          <w:rFonts w:ascii="Garamond" w:hAnsi="Garamond"/>
          <w:sz w:val="24"/>
          <w:szCs w:val="24"/>
        </w:rPr>
      </w:pPr>
    </w:p>
    <w:p w14:paraId="7508EBF6" w14:textId="77777777" w:rsidR="00E3316C" w:rsidRPr="00E40C5D" w:rsidRDefault="00000000">
      <w:pPr>
        <w:pStyle w:val="Heading3"/>
        <w:rPr>
          <w:rFonts w:ascii="Garamond" w:hAnsi="Garamond"/>
          <w:color w:val="000000" w:themeColor="text1"/>
          <w:sz w:val="24"/>
          <w:szCs w:val="24"/>
        </w:rPr>
      </w:pPr>
      <w:r w:rsidRPr="00E40C5D">
        <w:rPr>
          <w:rFonts w:ascii="Garamond" w:hAnsi="Garamond"/>
          <w:color w:val="000000" w:themeColor="text1"/>
          <w:sz w:val="24"/>
          <w:szCs w:val="24"/>
        </w:rPr>
        <w:t>9E.  Barriers Note Worksheet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40"/>
        <w:gridCol w:w="3120"/>
      </w:tblGrid>
      <w:tr w:rsidR="00E3316C" w:rsidRPr="00102618" w14:paraId="537888F3" w14:textId="77777777">
        <w:trPr>
          <w:tblHeader/>
        </w:trPr>
        <w:tc>
          <w:tcPr>
            <w:tcW w:w="624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72513A2B" w14:textId="77777777" w:rsidR="00E3316C" w:rsidRPr="00102618" w:rsidRDefault="00000000">
            <w:pPr>
              <w:rPr>
                <w:rFonts w:ascii="Garamond" w:hAnsi="Garamond"/>
                <w:sz w:val="24"/>
                <w:szCs w:val="24"/>
              </w:rPr>
            </w:pPr>
            <w:r w:rsidRPr="00102618">
              <w:rPr>
                <w:rFonts w:ascii="Garamond" w:hAnsi="Garamond"/>
                <w:b/>
                <w:bCs/>
                <w:color w:val="FFFFFF"/>
                <w:sz w:val="24"/>
                <w:szCs w:val="24"/>
              </w:rPr>
              <w:t>Field</w:t>
            </w:r>
          </w:p>
        </w:tc>
        <w:tc>
          <w:tcPr>
            <w:tcW w:w="31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313182ED" w14:textId="77777777" w:rsidR="00E3316C" w:rsidRPr="00102618" w:rsidRDefault="00000000">
            <w:pPr>
              <w:rPr>
                <w:rFonts w:ascii="Garamond" w:hAnsi="Garamond"/>
                <w:sz w:val="24"/>
                <w:szCs w:val="24"/>
              </w:rPr>
            </w:pPr>
            <w:r w:rsidRPr="00102618">
              <w:rPr>
                <w:rFonts w:ascii="Garamond" w:hAnsi="Garamond"/>
                <w:b/>
                <w:bCs/>
                <w:color w:val="FFFFFF"/>
                <w:sz w:val="24"/>
                <w:szCs w:val="24"/>
              </w:rPr>
              <w:t>Notes</w:t>
            </w:r>
          </w:p>
        </w:tc>
      </w:tr>
      <w:tr w:rsidR="00E3316C" w:rsidRPr="00102618" w14:paraId="156D0ABD" w14:textId="77777777">
        <w:tc>
          <w:tcPr>
            <w:tcW w:w="6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22ABDB9" w14:textId="77777777" w:rsidR="00E3316C" w:rsidRPr="00102618" w:rsidRDefault="00000000">
            <w:pPr>
              <w:rPr>
                <w:rFonts w:ascii="Garamond" w:hAnsi="Garamond"/>
                <w:sz w:val="24"/>
                <w:szCs w:val="24"/>
              </w:rPr>
            </w:pPr>
            <w:r w:rsidRPr="00102618">
              <w:rPr>
                <w:rFonts w:ascii="Garamond" w:hAnsi="Garamond"/>
                <w:sz w:val="24"/>
                <w:szCs w:val="24"/>
              </w:rPr>
              <w:t>What was difficult to disclose?</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4CBD4E2E" w14:textId="77777777" w:rsidR="00E3316C" w:rsidRPr="00102618" w:rsidRDefault="00E3316C">
            <w:pPr>
              <w:rPr>
                <w:rFonts w:ascii="Garamond" w:hAnsi="Garamond"/>
                <w:sz w:val="24"/>
                <w:szCs w:val="24"/>
              </w:rPr>
            </w:pPr>
          </w:p>
        </w:tc>
      </w:tr>
      <w:tr w:rsidR="00E3316C" w:rsidRPr="00102618" w14:paraId="5586BFCA" w14:textId="77777777">
        <w:tc>
          <w:tcPr>
            <w:tcW w:w="62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1341A7D7" w14:textId="77777777" w:rsidR="00E3316C" w:rsidRPr="00102618" w:rsidRDefault="00000000">
            <w:pPr>
              <w:rPr>
                <w:rFonts w:ascii="Garamond" w:hAnsi="Garamond"/>
                <w:sz w:val="24"/>
                <w:szCs w:val="24"/>
              </w:rPr>
            </w:pPr>
            <w:r w:rsidRPr="00102618">
              <w:rPr>
                <w:rFonts w:ascii="Garamond" w:hAnsi="Garamond"/>
                <w:sz w:val="24"/>
                <w:szCs w:val="24"/>
              </w:rPr>
              <w:t>What barrier(s) were present?</w:t>
            </w:r>
          </w:p>
        </w:tc>
        <w:tc>
          <w:tcPr>
            <w:tcW w:w="31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58D098E7" w14:textId="77777777" w:rsidR="00E3316C" w:rsidRPr="00102618" w:rsidRDefault="00E3316C">
            <w:pPr>
              <w:rPr>
                <w:rFonts w:ascii="Garamond" w:hAnsi="Garamond"/>
                <w:sz w:val="24"/>
                <w:szCs w:val="24"/>
              </w:rPr>
            </w:pPr>
          </w:p>
        </w:tc>
      </w:tr>
      <w:tr w:rsidR="00E3316C" w:rsidRPr="00102618" w14:paraId="71CF45C7" w14:textId="77777777">
        <w:tc>
          <w:tcPr>
            <w:tcW w:w="6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D789B79" w14:textId="77777777" w:rsidR="00E3316C" w:rsidRPr="00102618" w:rsidRDefault="00000000">
            <w:pPr>
              <w:rPr>
                <w:rFonts w:ascii="Garamond" w:hAnsi="Garamond"/>
                <w:sz w:val="24"/>
                <w:szCs w:val="24"/>
              </w:rPr>
            </w:pPr>
            <w:r w:rsidRPr="00102618">
              <w:rPr>
                <w:rFonts w:ascii="Garamond" w:hAnsi="Garamond"/>
                <w:sz w:val="24"/>
                <w:szCs w:val="24"/>
              </w:rPr>
              <w:t>What changed and allowed later disclosure?</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06F14ACD" w14:textId="77777777" w:rsidR="00E3316C" w:rsidRPr="00102618" w:rsidRDefault="00E3316C">
            <w:pPr>
              <w:rPr>
                <w:rFonts w:ascii="Garamond" w:hAnsi="Garamond"/>
                <w:sz w:val="24"/>
                <w:szCs w:val="24"/>
              </w:rPr>
            </w:pPr>
          </w:p>
        </w:tc>
      </w:tr>
      <w:tr w:rsidR="00E3316C" w:rsidRPr="00102618" w14:paraId="3FED531E" w14:textId="77777777">
        <w:tc>
          <w:tcPr>
            <w:tcW w:w="62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37B4E30C" w14:textId="77777777" w:rsidR="00E3316C" w:rsidRPr="00102618" w:rsidRDefault="00000000">
            <w:pPr>
              <w:rPr>
                <w:rFonts w:ascii="Garamond" w:hAnsi="Garamond"/>
                <w:sz w:val="24"/>
                <w:szCs w:val="24"/>
              </w:rPr>
            </w:pPr>
            <w:r w:rsidRPr="00102618">
              <w:rPr>
                <w:rFonts w:ascii="Garamond" w:hAnsi="Garamond"/>
                <w:sz w:val="24"/>
                <w:szCs w:val="24"/>
              </w:rPr>
              <w:t>What neutral wording belongs in the notes / declaration?</w:t>
            </w:r>
          </w:p>
        </w:tc>
        <w:tc>
          <w:tcPr>
            <w:tcW w:w="31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317711A9" w14:textId="77777777" w:rsidR="00E3316C" w:rsidRPr="00102618" w:rsidRDefault="00E3316C">
            <w:pPr>
              <w:rPr>
                <w:rFonts w:ascii="Garamond" w:hAnsi="Garamond"/>
                <w:sz w:val="24"/>
                <w:szCs w:val="24"/>
              </w:rPr>
            </w:pPr>
          </w:p>
        </w:tc>
      </w:tr>
      <w:tr w:rsidR="00E3316C" w:rsidRPr="00102618" w14:paraId="7A711B82" w14:textId="77777777">
        <w:tc>
          <w:tcPr>
            <w:tcW w:w="6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0E9A6DC2" w14:textId="77777777" w:rsidR="00E3316C" w:rsidRPr="00102618" w:rsidRDefault="00000000">
            <w:pPr>
              <w:rPr>
                <w:rFonts w:ascii="Garamond" w:hAnsi="Garamond"/>
                <w:sz w:val="24"/>
                <w:szCs w:val="24"/>
              </w:rPr>
            </w:pPr>
            <w:r w:rsidRPr="00102618">
              <w:rPr>
                <w:rFonts w:ascii="Garamond" w:hAnsi="Garamond"/>
                <w:sz w:val="24"/>
                <w:szCs w:val="24"/>
              </w:rPr>
              <w:t>What follow-up is still needed?</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571665F" w14:textId="77777777" w:rsidR="00E3316C" w:rsidRPr="00102618" w:rsidRDefault="00E3316C">
            <w:pPr>
              <w:rPr>
                <w:rFonts w:ascii="Garamond" w:hAnsi="Garamond"/>
                <w:sz w:val="24"/>
                <w:szCs w:val="24"/>
              </w:rPr>
            </w:pPr>
          </w:p>
        </w:tc>
      </w:tr>
    </w:tbl>
    <w:p w14:paraId="603931A0" w14:textId="77777777" w:rsidR="00E3316C" w:rsidRPr="00102618" w:rsidRDefault="00E3316C">
      <w:pPr>
        <w:spacing w:before="60" w:after="60"/>
        <w:rPr>
          <w:rFonts w:ascii="Garamond" w:hAnsi="Garamond"/>
          <w:sz w:val="24"/>
          <w:szCs w:val="24"/>
        </w:rPr>
      </w:pPr>
    </w:p>
    <w:p w14:paraId="0D31BA71" w14:textId="77777777" w:rsidR="00E3316C" w:rsidRPr="00E40C5D" w:rsidRDefault="00000000">
      <w:pPr>
        <w:pStyle w:val="Heading3"/>
        <w:rPr>
          <w:rFonts w:ascii="Garamond" w:hAnsi="Garamond"/>
          <w:color w:val="000000" w:themeColor="text1"/>
          <w:sz w:val="24"/>
          <w:szCs w:val="24"/>
        </w:rPr>
      </w:pPr>
      <w:r w:rsidRPr="00E40C5D">
        <w:rPr>
          <w:rFonts w:ascii="Garamond" w:hAnsi="Garamond"/>
          <w:color w:val="000000" w:themeColor="text1"/>
          <w:sz w:val="24"/>
          <w:szCs w:val="24"/>
        </w:rPr>
        <w:t>9F.  Use With Care: Documenting Barriers Without Over-Explaining</w:t>
      </w:r>
    </w:p>
    <w:p w14:paraId="47CA496E" w14:textId="77777777" w:rsidR="00E3316C" w:rsidRPr="00102618" w:rsidRDefault="00000000">
      <w:pPr>
        <w:spacing w:after="120"/>
        <w:rPr>
          <w:rFonts w:ascii="Garamond" w:hAnsi="Garamond"/>
          <w:sz w:val="24"/>
          <w:szCs w:val="24"/>
        </w:rPr>
      </w:pPr>
      <w:r w:rsidRPr="00102618">
        <w:rPr>
          <w:rFonts w:ascii="Garamond" w:hAnsi="Garamond"/>
          <w:sz w:val="24"/>
          <w:szCs w:val="24"/>
        </w:rPr>
        <w:t>This tool is meant to discipline explanation, not to excuse every discrepancy. A trauma- or context-related barrier may be present, and legal judgment must still evaluate what is core, what is peripheral, and what requires clarification. Use this section when it improves interpretation. Do not turn every case into a psychological essay, and do not assume that every late fact is harmless simply because barriers exist.</w:t>
      </w:r>
    </w:p>
    <w:p w14:paraId="366FECA2" w14:textId="77777777" w:rsidR="00E3316C" w:rsidRPr="00102618" w:rsidRDefault="00000000">
      <w:pPr>
        <w:rPr>
          <w:rFonts w:ascii="Garamond" w:hAnsi="Garamond"/>
          <w:sz w:val="24"/>
          <w:szCs w:val="24"/>
        </w:rPr>
      </w:pPr>
      <w:r w:rsidRPr="00102618">
        <w:rPr>
          <w:rFonts w:ascii="Garamond" w:hAnsi="Garamond"/>
          <w:sz w:val="24"/>
          <w:szCs w:val="24"/>
        </w:rPr>
        <w:br w:type="page"/>
      </w:r>
    </w:p>
    <w:p w14:paraId="7ED5DD5D" w14:textId="77777777" w:rsidR="00E3316C" w:rsidRPr="00E40C5D" w:rsidRDefault="00000000">
      <w:pPr>
        <w:pStyle w:val="Heading2"/>
        <w:pBdr>
          <w:bottom w:val="single" w:sz="6" w:space="1" w:color="2E75B6"/>
        </w:pBdr>
        <w:rPr>
          <w:rFonts w:ascii="Garamond" w:hAnsi="Garamond"/>
          <w:color w:val="000000" w:themeColor="text1"/>
          <w:sz w:val="24"/>
          <w:szCs w:val="24"/>
        </w:rPr>
      </w:pPr>
      <w:r w:rsidRPr="00E40C5D">
        <w:rPr>
          <w:rFonts w:ascii="Garamond" w:hAnsi="Garamond"/>
          <w:color w:val="000000" w:themeColor="text1"/>
          <w:sz w:val="24"/>
          <w:szCs w:val="24"/>
        </w:rPr>
        <w:lastRenderedPageBreak/>
        <w:t>Section 10. Bridge Scripts, Legal Rationale, and Meaning-Checks</w:t>
      </w:r>
    </w:p>
    <w:p w14:paraId="6D9A22CE" w14:textId="77777777" w:rsidR="00E3316C" w:rsidRPr="00102618" w:rsidRDefault="00000000">
      <w:pPr>
        <w:spacing w:after="120"/>
        <w:rPr>
          <w:rFonts w:ascii="Garamond" w:hAnsi="Garamond"/>
          <w:sz w:val="24"/>
          <w:szCs w:val="24"/>
        </w:rPr>
      </w:pPr>
      <w:r w:rsidRPr="00102618">
        <w:rPr>
          <w:rFonts w:ascii="Garamond" w:hAnsi="Garamond"/>
          <w:sz w:val="24"/>
          <w:szCs w:val="24"/>
        </w:rPr>
        <w:t>Effective interviewing in asylum contexts requires more than accurate questions—it requires language that preserves trust, manages distress, and maintains the practitioner's legal and ethical position simultaneously. Research shows that partial disclosure, shifting detail, silence, and difficulty naming events more often reflect fear, shame, dissociation, or overload than deception (</w:t>
      </w:r>
      <w:proofErr w:type="spellStart"/>
      <w:r w:rsidRPr="00102618">
        <w:rPr>
          <w:rFonts w:ascii="Garamond" w:hAnsi="Garamond"/>
          <w:sz w:val="24"/>
          <w:szCs w:val="24"/>
        </w:rPr>
        <w:t>Bögner</w:t>
      </w:r>
      <w:proofErr w:type="spellEnd"/>
      <w:r w:rsidRPr="00102618">
        <w:rPr>
          <w:rFonts w:ascii="Garamond" w:hAnsi="Garamond"/>
          <w:sz w:val="24"/>
          <w:szCs w:val="24"/>
        </w:rPr>
        <w:t xml:space="preserve"> et al., 2007; SAMHSA, 2014). This section provides scripted language for the moments practitioners commonly find most difficult: when something important appears to be withheld, when a detail shifts, when a sensitive question is legally necessary but emotionally risky, and when interpretation may have distorted meaning. These scripts are starting points, not scripts to memorize.</w:t>
      </w:r>
    </w:p>
    <w:p w14:paraId="4D3639F0" w14:textId="77777777" w:rsidR="00E3316C" w:rsidRPr="00102618" w:rsidRDefault="00E3316C">
      <w:pPr>
        <w:spacing w:before="60" w:after="60"/>
        <w:rPr>
          <w:rFonts w:ascii="Garamond" w:hAnsi="Garamond"/>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3316C" w:rsidRPr="00102618" w14:paraId="69498E48" w14:textId="77777777">
        <w:tc>
          <w:tcPr>
            <w:tcW w:w="9360" w:type="dxa"/>
            <w:tcBorders>
              <w:top w:val="single" w:sz="4" w:space="0" w:color="999999"/>
              <w:left w:val="single" w:sz="4" w:space="0" w:color="999999"/>
              <w:bottom w:val="single" w:sz="4" w:space="0" w:color="999999"/>
              <w:right w:val="single" w:sz="4" w:space="0" w:color="999999"/>
            </w:tcBorders>
            <w:shd w:val="clear" w:color="auto" w:fill="F5F5F5"/>
            <w:tcMar>
              <w:top w:w="120" w:type="dxa"/>
              <w:left w:w="160" w:type="dxa"/>
              <w:bottom w:w="120" w:type="dxa"/>
              <w:right w:w="160" w:type="dxa"/>
            </w:tcMar>
          </w:tcPr>
          <w:p w14:paraId="345984D4" w14:textId="77777777" w:rsidR="00E3316C" w:rsidRPr="00102618" w:rsidRDefault="00000000">
            <w:pPr>
              <w:spacing w:after="120"/>
              <w:rPr>
                <w:rFonts w:ascii="Garamond" w:hAnsi="Garamond"/>
                <w:sz w:val="24"/>
                <w:szCs w:val="24"/>
              </w:rPr>
            </w:pPr>
            <w:r w:rsidRPr="00102618">
              <w:rPr>
                <w:rFonts w:ascii="Garamond" w:hAnsi="Garamond"/>
                <w:b/>
                <w:bCs/>
                <w:sz w:val="24"/>
                <w:szCs w:val="24"/>
              </w:rPr>
              <w:t xml:space="preserve">Evidence </w:t>
            </w:r>
            <w:proofErr w:type="gramStart"/>
            <w:r w:rsidRPr="00102618">
              <w:rPr>
                <w:rFonts w:ascii="Garamond" w:hAnsi="Garamond"/>
                <w:b/>
                <w:bCs/>
                <w:sz w:val="24"/>
                <w:szCs w:val="24"/>
              </w:rPr>
              <w:t>note</w:t>
            </w:r>
            <w:proofErr w:type="gramEnd"/>
            <w:r w:rsidRPr="00102618">
              <w:rPr>
                <w:rFonts w:ascii="Garamond" w:hAnsi="Garamond"/>
                <w:b/>
                <w:bCs/>
                <w:sz w:val="24"/>
                <w:szCs w:val="24"/>
              </w:rPr>
              <w:t xml:space="preserve">:  </w:t>
            </w:r>
            <w:r w:rsidRPr="00102618">
              <w:rPr>
                <w:rFonts w:ascii="Garamond" w:hAnsi="Garamond"/>
                <w:sz w:val="24"/>
                <w:szCs w:val="24"/>
              </w:rPr>
              <w:t>These bridge scripts are grounded in trauma-informed interviewing principles and the observation that partial disclosure, shifting detail, silence, or difficulty naming an event may reflect fear, shame, dissociation, or overload rather than lack of truthfulness. They are meant to preserve trust, pacing, and client voice while still gathering legally relevant information (</w:t>
            </w:r>
            <w:proofErr w:type="spellStart"/>
            <w:r w:rsidRPr="00102618">
              <w:rPr>
                <w:rFonts w:ascii="Garamond" w:hAnsi="Garamond"/>
                <w:sz w:val="24"/>
                <w:szCs w:val="24"/>
              </w:rPr>
              <w:t>Bögner</w:t>
            </w:r>
            <w:proofErr w:type="spellEnd"/>
            <w:r w:rsidRPr="00102618">
              <w:rPr>
                <w:rFonts w:ascii="Garamond" w:hAnsi="Garamond"/>
                <w:sz w:val="24"/>
                <w:szCs w:val="24"/>
              </w:rPr>
              <w:t xml:space="preserve"> et al., 2007; SAMHSA, 2014).</w:t>
            </w:r>
          </w:p>
        </w:tc>
      </w:tr>
    </w:tbl>
    <w:p w14:paraId="45E4551F" w14:textId="77777777" w:rsidR="00E3316C" w:rsidRPr="00102618" w:rsidRDefault="00E3316C">
      <w:pPr>
        <w:spacing w:before="60" w:after="60"/>
        <w:rPr>
          <w:rFonts w:ascii="Garamond" w:hAnsi="Garamond"/>
          <w:sz w:val="24"/>
          <w:szCs w:val="24"/>
        </w:rPr>
      </w:pPr>
    </w:p>
    <w:p w14:paraId="63A24E7E" w14:textId="77777777" w:rsidR="00E3316C" w:rsidRPr="00E40C5D" w:rsidRDefault="00000000">
      <w:pPr>
        <w:pStyle w:val="Heading3"/>
        <w:rPr>
          <w:rFonts w:ascii="Garamond" w:hAnsi="Garamond"/>
          <w:color w:val="000000" w:themeColor="text1"/>
          <w:sz w:val="24"/>
          <w:szCs w:val="24"/>
        </w:rPr>
      </w:pPr>
      <w:r w:rsidRPr="00E40C5D">
        <w:rPr>
          <w:rFonts w:ascii="Garamond" w:hAnsi="Garamond"/>
          <w:color w:val="000000" w:themeColor="text1"/>
          <w:sz w:val="24"/>
          <w:szCs w:val="24"/>
        </w:rPr>
        <w:t>10A.  When You Think Something Important Is Being Held Back</w:t>
      </w:r>
    </w:p>
    <w:p w14:paraId="64AA1582" w14:textId="77777777" w:rsidR="00E3316C" w:rsidRPr="00E40C5D" w:rsidRDefault="00000000">
      <w:pPr>
        <w:spacing w:after="60"/>
        <w:ind w:left="720"/>
        <w:rPr>
          <w:rFonts w:ascii="Garamond" w:hAnsi="Garamond"/>
          <w:color w:val="000000" w:themeColor="text1"/>
          <w:sz w:val="24"/>
          <w:szCs w:val="24"/>
        </w:rPr>
      </w:pPr>
      <w:r w:rsidRPr="00E40C5D">
        <w:rPr>
          <w:rFonts w:ascii="Garamond" w:hAnsi="Garamond"/>
          <w:color w:val="000000" w:themeColor="text1"/>
          <w:sz w:val="24"/>
          <w:szCs w:val="24"/>
        </w:rPr>
        <w:t>"It seems like there may be more here, and that is okay. We do not have to get to it all today."</w:t>
      </w:r>
    </w:p>
    <w:p w14:paraId="6C07FEFB" w14:textId="77777777" w:rsidR="00E3316C" w:rsidRPr="00E40C5D" w:rsidRDefault="00000000">
      <w:pPr>
        <w:spacing w:after="60"/>
        <w:ind w:left="720"/>
        <w:rPr>
          <w:rFonts w:ascii="Garamond" w:hAnsi="Garamond"/>
          <w:color w:val="000000" w:themeColor="text1"/>
          <w:sz w:val="24"/>
          <w:szCs w:val="24"/>
        </w:rPr>
      </w:pPr>
      <w:r w:rsidRPr="00E40C5D">
        <w:rPr>
          <w:rFonts w:ascii="Garamond" w:hAnsi="Garamond"/>
          <w:color w:val="000000" w:themeColor="text1"/>
          <w:sz w:val="24"/>
          <w:szCs w:val="24"/>
        </w:rPr>
        <w:t>"Sometimes people are not ready to talk about certain parts right away. Is that happening here?"</w:t>
      </w:r>
    </w:p>
    <w:p w14:paraId="09CDCC76" w14:textId="77777777" w:rsidR="00E3316C" w:rsidRPr="00E40C5D" w:rsidRDefault="00000000">
      <w:pPr>
        <w:spacing w:after="60"/>
        <w:ind w:left="720"/>
        <w:rPr>
          <w:rFonts w:ascii="Garamond" w:hAnsi="Garamond"/>
          <w:color w:val="000000" w:themeColor="text1"/>
          <w:sz w:val="24"/>
          <w:szCs w:val="24"/>
        </w:rPr>
      </w:pPr>
      <w:r w:rsidRPr="00E40C5D">
        <w:rPr>
          <w:rFonts w:ascii="Garamond" w:hAnsi="Garamond"/>
          <w:color w:val="000000" w:themeColor="text1"/>
          <w:sz w:val="24"/>
          <w:szCs w:val="24"/>
        </w:rPr>
        <w:t>"We can note this and return to it when it feels more manageable."</w:t>
      </w:r>
    </w:p>
    <w:p w14:paraId="37298649" w14:textId="77777777" w:rsidR="00E3316C" w:rsidRPr="00E40C5D" w:rsidRDefault="00E3316C">
      <w:pPr>
        <w:spacing w:before="60" w:after="60"/>
        <w:rPr>
          <w:rFonts w:ascii="Garamond" w:hAnsi="Garamond"/>
          <w:color w:val="000000" w:themeColor="text1"/>
          <w:sz w:val="24"/>
          <w:szCs w:val="24"/>
        </w:rPr>
      </w:pPr>
    </w:p>
    <w:p w14:paraId="4F1179EE" w14:textId="77777777" w:rsidR="00E3316C" w:rsidRPr="00E40C5D" w:rsidRDefault="00000000">
      <w:pPr>
        <w:pStyle w:val="Heading3"/>
        <w:rPr>
          <w:rFonts w:ascii="Garamond" w:hAnsi="Garamond"/>
          <w:color w:val="000000" w:themeColor="text1"/>
          <w:sz w:val="24"/>
          <w:szCs w:val="24"/>
        </w:rPr>
      </w:pPr>
      <w:r w:rsidRPr="00E40C5D">
        <w:rPr>
          <w:rFonts w:ascii="Garamond" w:hAnsi="Garamond"/>
          <w:color w:val="000000" w:themeColor="text1"/>
          <w:sz w:val="24"/>
          <w:szCs w:val="24"/>
        </w:rPr>
        <w:t>10B.  When You Need to Slow Down</w:t>
      </w:r>
    </w:p>
    <w:p w14:paraId="6C7F9060" w14:textId="77777777" w:rsidR="00E3316C" w:rsidRPr="00E40C5D" w:rsidRDefault="00000000">
      <w:pPr>
        <w:spacing w:after="60"/>
        <w:ind w:left="720"/>
        <w:rPr>
          <w:rFonts w:ascii="Garamond" w:hAnsi="Garamond"/>
          <w:color w:val="000000" w:themeColor="text1"/>
          <w:sz w:val="24"/>
          <w:szCs w:val="24"/>
        </w:rPr>
      </w:pPr>
      <w:r w:rsidRPr="00E40C5D">
        <w:rPr>
          <w:rFonts w:ascii="Garamond" w:hAnsi="Garamond"/>
          <w:color w:val="000000" w:themeColor="text1"/>
          <w:sz w:val="24"/>
          <w:szCs w:val="24"/>
        </w:rPr>
        <w:t>"Let's stay with this one part for a moment."</w:t>
      </w:r>
    </w:p>
    <w:p w14:paraId="74D2A8CF" w14:textId="77777777" w:rsidR="00E3316C" w:rsidRPr="00E40C5D" w:rsidRDefault="00000000">
      <w:pPr>
        <w:spacing w:after="60"/>
        <w:ind w:left="720"/>
        <w:rPr>
          <w:rFonts w:ascii="Garamond" w:hAnsi="Garamond"/>
          <w:color w:val="000000" w:themeColor="text1"/>
          <w:sz w:val="24"/>
          <w:szCs w:val="24"/>
        </w:rPr>
      </w:pPr>
      <w:r w:rsidRPr="00E40C5D">
        <w:rPr>
          <w:rFonts w:ascii="Garamond" w:hAnsi="Garamond"/>
          <w:color w:val="000000" w:themeColor="text1"/>
          <w:sz w:val="24"/>
          <w:szCs w:val="24"/>
        </w:rPr>
        <w:t>"We can pause here if you need."</w:t>
      </w:r>
    </w:p>
    <w:p w14:paraId="50A309A8" w14:textId="77777777" w:rsidR="00E3316C" w:rsidRPr="00E40C5D" w:rsidRDefault="00000000">
      <w:pPr>
        <w:spacing w:after="60"/>
        <w:ind w:left="720"/>
        <w:rPr>
          <w:rFonts w:ascii="Garamond" w:hAnsi="Garamond"/>
          <w:color w:val="000000" w:themeColor="text1"/>
          <w:sz w:val="24"/>
          <w:szCs w:val="24"/>
        </w:rPr>
      </w:pPr>
      <w:r w:rsidRPr="00E40C5D">
        <w:rPr>
          <w:rFonts w:ascii="Garamond" w:hAnsi="Garamond"/>
          <w:color w:val="000000" w:themeColor="text1"/>
          <w:sz w:val="24"/>
          <w:szCs w:val="24"/>
        </w:rPr>
        <w:t>"You do not need to tell this all at once."</w:t>
      </w:r>
    </w:p>
    <w:p w14:paraId="19B640A2" w14:textId="77777777" w:rsidR="00E3316C" w:rsidRPr="00E40C5D" w:rsidRDefault="00E3316C">
      <w:pPr>
        <w:spacing w:before="60" w:after="60"/>
        <w:rPr>
          <w:rFonts w:ascii="Garamond" w:hAnsi="Garamond"/>
          <w:color w:val="000000" w:themeColor="text1"/>
          <w:sz w:val="24"/>
          <w:szCs w:val="24"/>
        </w:rPr>
      </w:pPr>
    </w:p>
    <w:p w14:paraId="7FDA4F14" w14:textId="77777777" w:rsidR="00E3316C" w:rsidRPr="00E40C5D" w:rsidRDefault="00000000">
      <w:pPr>
        <w:pStyle w:val="Heading3"/>
        <w:rPr>
          <w:rFonts w:ascii="Garamond" w:hAnsi="Garamond"/>
          <w:color w:val="000000" w:themeColor="text1"/>
          <w:sz w:val="24"/>
          <w:szCs w:val="24"/>
        </w:rPr>
      </w:pPr>
      <w:r w:rsidRPr="00E40C5D">
        <w:rPr>
          <w:rFonts w:ascii="Garamond" w:hAnsi="Garamond"/>
          <w:color w:val="000000" w:themeColor="text1"/>
          <w:sz w:val="24"/>
          <w:szCs w:val="24"/>
        </w:rPr>
        <w:t>10C.  When a Detail Changes or Seems Inconsistent</w:t>
      </w:r>
    </w:p>
    <w:p w14:paraId="7518B65C" w14:textId="77777777" w:rsidR="00E3316C" w:rsidRPr="00E40C5D" w:rsidRDefault="00000000">
      <w:pPr>
        <w:spacing w:after="60"/>
        <w:ind w:left="720"/>
        <w:rPr>
          <w:rFonts w:ascii="Garamond" w:hAnsi="Garamond"/>
          <w:color w:val="000000" w:themeColor="text1"/>
          <w:sz w:val="24"/>
          <w:szCs w:val="24"/>
        </w:rPr>
      </w:pPr>
      <w:r w:rsidRPr="00E40C5D">
        <w:rPr>
          <w:rFonts w:ascii="Garamond" w:hAnsi="Garamond"/>
          <w:color w:val="000000" w:themeColor="text1"/>
          <w:sz w:val="24"/>
          <w:szCs w:val="24"/>
        </w:rPr>
        <w:t>"Help me understand what feels most accurate now."</w:t>
      </w:r>
    </w:p>
    <w:p w14:paraId="5018F09D" w14:textId="77777777" w:rsidR="00E3316C" w:rsidRPr="00E40C5D" w:rsidRDefault="00000000">
      <w:pPr>
        <w:spacing w:after="60"/>
        <w:ind w:left="720"/>
        <w:rPr>
          <w:rFonts w:ascii="Garamond" w:hAnsi="Garamond"/>
          <w:color w:val="000000" w:themeColor="text1"/>
          <w:sz w:val="24"/>
          <w:szCs w:val="24"/>
        </w:rPr>
      </w:pPr>
      <w:r w:rsidRPr="00E40C5D">
        <w:rPr>
          <w:rFonts w:ascii="Garamond" w:hAnsi="Garamond"/>
          <w:color w:val="000000" w:themeColor="text1"/>
          <w:sz w:val="24"/>
          <w:szCs w:val="24"/>
        </w:rPr>
        <w:t>"Sometimes details come back in pieces. Let's walk through it slowly."</w:t>
      </w:r>
    </w:p>
    <w:p w14:paraId="67D3A75A" w14:textId="77777777" w:rsidR="00E3316C" w:rsidRPr="00E40C5D" w:rsidRDefault="00000000">
      <w:pPr>
        <w:spacing w:after="60"/>
        <w:ind w:left="720"/>
        <w:rPr>
          <w:rFonts w:ascii="Garamond" w:hAnsi="Garamond"/>
          <w:color w:val="000000" w:themeColor="text1"/>
          <w:sz w:val="24"/>
          <w:szCs w:val="24"/>
        </w:rPr>
      </w:pPr>
      <w:r w:rsidRPr="00E40C5D">
        <w:rPr>
          <w:rFonts w:ascii="Garamond" w:hAnsi="Garamond"/>
          <w:color w:val="000000" w:themeColor="text1"/>
          <w:sz w:val="24"/>
          <w:szCs w:val="24"/>
        </w:rPr>
        <w:t>"What part of this feels clear, and what part still feels uncertain?"</w:t>
      </w:r>
    </w:p>
    <w:p w14:paraId="3DC80C40" w14:textId="77777777" w:rsidR="00E3316C" w:rsidRPr="00E40C5D" w:rsidRDefault="00E3316C">
      <w:pPr>
        <w:spacing w:before="60" w:after="60"/>
        <w:rPr>
          <w:rFonts w:ascii="Garamond" w:hAnsi="Garamond"/>
          <w:color w:val="000000" w:themeColor="text1"/>
          <w:sz w:val="24"/>
          <w:szCs w:val="24"/>
        </w:rPr>
      </w:pPr>
    </w:p>
    <w:p w14:paraId="3E8AC3F3" w14:textId="77777777" w:rsidR="00E3316C" w:rsidRPr="00E40C5D" w:rsidRDefault="00000000">
      <w:pPr>
        <w:pStyle w:val="Heading3"/>
        <w:rPr>
          <w:rFonts w:ascii="Garamond" w:hAnsi="Garamond"/>
          <w:color w:val="000000" w:themeColor="text1"/>
          <w:sz w:val="24"/>
          <w:szCs w:val="24"/>
        </w:rPr>
      </w:pPr>
      <w:r w:rsidRPr="00E40C5D">
        <w:rPr>
          <w:rFonts w:ascii="Garamond" w:hAnsi="Garamond"/>
          <w:color w:val="000000" w:themeColor="text1"/>
          <w:sz w:val="24"/>
          <w:szCs w:val="24"/>
        </w:rPr>
        <w:t>10D.  Legal Rationale Bridge Scripts</w:t>
      </w:r>
    </w:p>
    <w:p w14:paraId="6C8C0CCD" w14:textId="77777777" w:rsidR="00E3316C" w:rsidRPr="00E40C5D" w:rsidRDefault="00000000">
      <w:pPr>
        <w:spacing w:after="120"/>
        <w:rPr>
          <w:rFonts w:ascii="Garamond" w:hAnsi="Garamond"/>
          <w:color w:val="000000" w:themeColor="text1"/>
          <w:sz w:val="24"/>
          <w:szCs w:val="24"/>
        </w:rPr>
      </w:pPr>
      <w:r w:rsidRPr="00E40C5D">
        <w:rPr>
          <w:rFonts w:ascii="Garamond" w:hAnsi="Garamond"/>
          <w:color w:val="000000" w:themeColor="text1"/>
          <w:sz w:val="24"/>
          <w:szCs w:val="24"/>
        </w:rPr>
        <w:t>This sub-section provides the legal-rationale technique emphasized in attorney-facing asylum toolkits: warn the client before a sensitive question and explain why the question matters legally, so the practitioner's role feels protective rather than intrusive (American Bar Association Commission on Immigration &amp; HIAS, 2022).</w:t>
      </w:r>
    </w:p>
    <w:p w14:paraId="53D41845" w14:textId="77777777" w:rsidR="00E3316C" w:rsidRPr="00E40C5D" w:rsidRDefault="00000000">
      <w:pPr>
        <w:spacing w:after="60"/>
        <w:ind w:left="720"/>
        <w:rPr>
          <w:rFonts w:ascii="Garamond" w:hAnsi="Garamond"/>
          <w:color w:val="000000" w:themeColor="text1"/>
          <w:sz w:val="24"/>
          <w:szCs w:val="24"/>
        </w:rPr>
      </w:pPr>
      <w:r w:rsidRPr="00E40C5D">
        <w:rPr>
          <w:rFonts w:ascii="Garamond" w:hAnsi="Garamond"/>
          <w:color w:val="000000" w:themeColor="text1"/>
          <w:sz w:val="24"/>
          <w:szCs w:val="24"/>
        </w:rPr>
        <w:lastRenderedPageBreak/>
        <w:t>"I need to ask a difficult question about the police now. The reason I am asking is because the decision-maker will need to understand why the state could not protect you."</w:t>
      </w:r>
    </w:p>
    <w:p w14:paraId="0AB3FC64" w14:textId="77777777" w:rsidR="00E3316C" w:rsidRPr="00E40C5D" w:rsidRDefault="00000000">
      <w:pPr>
        <w:spacing w:after="60"/>
        <w:ind w:left="720"/>
        <w:rPr>
          <w:rFonts w:ascii="Garamond" w:hAnsi="Garamond"/>
          <w:color w:val="000000" w:themeColor="text1"/>
          <w:sz w:val="24"/>
          <w:szCs w:val="24"/>
        </w:rPr>
      </w:pPr>
      <w:r w:rsidRPr="00E40C5D">
        <w:rPr>
          <w:rFonts w:ascii="Garamond" w:hAnsi="Garamond"/>
          <w:color w:val="000000" w:themeColor="text1"/>
          <w:sz w:val="24"/>
          <w:szCs w:val="24"/>
        </w:rPr>
        <w:t>"I am going to ask about something sensitive. I am asking because this may help explain why you were targeted, why you did not report, or why you cannot safely return."</w:t>
      </w:r>
    </w:p>
    <w:p w14:paraId="35E63C54" w14:textId="77777777" w:rsidR="00E3316C" w:rsidRPr="00E40C5D" w:rsidRDefault="00000000">
      <w:pPr>
        <w:spacing w:after="60"/>
        <w:ind w:left="720"/>
        <w:rPr>
          <w:rFonts w:ascii="Garamond" w:hAnsi="Garamond"/>
          <w:color w:val="000000" w:themeColor="text1"/>
          <w:sz w:val="24"/>
          <w:szCs w:val="24"/>
        </w:rPr>
      </w:pPr>
      <w:r w:rsidRPr="00E40C5D">
        <w:rPr>
          <w:rFonts w:ascii="Garamond" w:hAnsi="Garamond"/>
          <w:color w:val="000000" w:themeColor="text1"/>
          <w:sz w:val="24"/>
          <w:szCs w:val="24"/>
        </w:rPr>
        <w:t>"You can answer in whatever level of detail feels manageable. If this is not the right time, we can come back to it later."</w:t>
      </w:r>
    </w:p>
    <w:p w14:paraId="5CA53E9A" w14:textId="77777777" w:rsidR="00E3316C" w:rsidRPr="00E40C5D" w:rsidRDefault="00E3316C">
      <w:pPr>
        <w:spacing w:before="60" w:after="60"/>
        <w:rPr>
          <w:rFonts w:ascii="Garamond" w:hAnsi="Garamond"/>
          <w:color w:val="000000" w:themeColor="text1"/>
          <w:sz w:val="24"/>
          <w:szCs w:val="24"/>
        </w:rPr>
      </w:pPr>
    </w:p>
    <w:p w14:paraId="4A5F7CDA" w14:textId="77777777" w:rsidR="00E3316C" w:rsidRPr="00E40C5D" w:rsidRDefault="00000000">
      <w:pPr>
        <w:pStyle w:val="Heading3"/>
        <w:rPr>
          <w:rFonts w:ascii="Garamond" w:hAnsi="Garamond"/>
          <w:color w:val="000000" w:themeColor="text1"/>
          <w:sz w:val="24"/>
          <w:szCs w:val="24"/>
        </w:rPr>
      </w:pPr>
      <w:r w:rsidRPr="00E40C5D">
        <w:rPr>
          <w:rFonts w:ascii="Garamond" w:hAnsi="Garamond"/>
          <w:color w:val="000000" w:themeColor="text1"/>
          <w:sz w:val="24"/>
          <w:szCs w:val="24"/>
        </w:rPr>
        <w:t>10E.  Meaning-Check Scripts for Interpreted or Confusing Moments</w:t>
      </w:r>
    </w:p>
    <w:p w14:paraId="4C45880B" w14:textId="77777777" w:rsidR="00E3316C" w:rsidRPr="00E40C5D" w:rsidRDefault="00000000">
      <w:pPr>
        <w:spacing w:after="60"/>
        <w:ind w:left="720"/>
        <w:rPr>
          <w:rFonts w:ascii="Garamond" w:hAnsi="Garamond"/>
          <w:color w:val="000000" w:themeColor="text1"/>
          <w:sz w:val="24"/>
          <w:szCs w:val="24"/>
        </w:rPr>
      </w:pPr>
      <w:r w:rsidRPr="00E40C5D">
        <w:rPr>
          <w:rFonts w:ascii="Garamond" w:hAnsi="Garamond"/>
          <w:color w:val="000000" w:themeColor="text1"/>
          <w:sz w:val="24"/>
          <w:szCs w:val="24"/>
        </w:rPr>
        <w:t>"Can you explain to me what you think I am asking for?"</w:t>
      </w:r>
    </w:p>
    <w:p w14:paraId="2280E776" w14:textId="77777777" w:rsidR="00E3316C" w:rsidRPr="00E40C5D" w:rsidRDefault="00000000">
      <w:pPr>
        <w:spacing w:after="60"/>
        <w:ind w:left="720"/>
        <w:rPr>
          <w:rFonts w:ascii="Garamond" w:hAnsi="Garamond"/>
          <w:color w:val="000000" w:themeColor="text1"/>
          <w:sz w:val="24"/>
          <w:szCs w:val="24"/>
        </w:rPr>
      </w:pPr>
      <w:r w:rsidRPr="00E40C5D">
        <w:rPr>
          <w:rFonts w:ascii="Garamond" w:hAnsi="Garamond"/>
          <w:color w:val="000000" w:themeColor="text1"/>
          <w:sz w:val="24"/>
          <w:szCs w:val="24"/>
        </w:rPr>
        <w:t>"Please tell me in your own words what the interpreter just asked you."</w:t>
      </w:r>
    </w:p>
    <w:p w14:paraId="463C6F10" w14:textId="77777777" w:rsidR="00E3316C" w:rsidRPr="00E40C5D" w:rsidRDefault="00000000">
      <w:pPr>
        <w:spacing w:after="60"/>
        <w:ind w:left="720"/>
        <w:rPr>
          <w:rFonts w:ascii="Garamond" w:hAnsi="Garamond"/>
          <w:color w:val="000000" w:themeColor="text1"/>
          <w:sz w:val="24"/>
          <w:szCs w:val="24"/>
        </w:rPr>
      </w:pPr>
      <w:r w:rsidRPr="00E40C5D">
        <w:rPr>
          <w:rFonts w:ascii="Garamond" w:hAnsi="Garamond"/>
          <w:color w:val="000000" w:themeColor="text1"/>
          <w:sz w:val="24"/>
          <w:szCs w:val="24"/>
        </w:rPr>
        <w:t>"Let's pause. Are there words we are using that do not translate well into your language?"</w:t>
      </w:r>
    </w:p>
    <w:p w14:paraId="177D8072" w14:textId="77777777" w:rsidR="00E3316C" w:rsidRPr="00E40C5D" w:rsidRDefault="00000000">
      <w:pPr>
        <w:spacing w:after="60"/>
        <w:ind w:left="720"/>
        <w:rPr>
          <w:rFonts w:ascii="Garamond" w:hAnsi="Garamond"/>
          <w:color w:val="000000" w:themeColor="text1"/>
          <w:sz w:val="24"/>
          <w:szCs w:val="24"/>
        </w:rPr>
      </w:pPr>
      <w:r w:rsidRPr="00E40C5D">
        <w:rPr>
          <w:rFonts w:ascii="Garamond" w:hAnsi="Garamond"/>
          <w:color w:val="000000" w:themeColor="text1"/>
          <w:sz w:val="24"/>
          <w:szCs w:val="24"/>
        </w:rPr>
        <w:t>"When I say [police / politics / family / shame / relationship], what does that word mean in your home language or community?"</w:t>
      </w:r>
    </w:p>
    <w:p w14:paraId="44B561C4" w14:textId="77777777" w:rsidR="00E3316C" w:rsidRPr="00E40C5D" w:rsidRDefault="00E3316C">
      <w:pPr>
        <w:spacing w:before="60" w:after="60"/>
        <w:rPr>
          <w:rFonts w:ascii="Garamond" w:hAnsi="Garamond"/>
          <w:color w:val="000000" w:themeColor="text1"/>
          <w:sz w:val="24"/>
          <w:szCs w:val="24"/>
        </w:rPr>
      </w:pPr>
    </w:p>
    <w:p w14:paraId="7D74798F" w14:textId="77777777" w:rsidR="00E3316C" w:rsidRPr="00E40C5D" w:rsidRDefault="00000000">
      <w:pPr>
        <w:pStyle w:val="Heading3"/>
        <w:rPr>
          <w:rFonts w:ascii="Garamond" w:hAnsi="Garamond"/>
          <w:color w:val="000000" w:themeColor="text1"/>
          <w:sz w:val="24"/>
          <w:szCs w:val="24"/>
        </w:rPr>
      </w:pPr>
      <w:r w:rsidRPr="00E40C5D">
        <w:rPr>
          <w:rFonts w:ascii="Garamond" w:hAnsi="Garamond"/>
          <w:color w:val="000000" w:themeColor="text1"/>
          <w:sz w:val="24"/>
          <w:szCs w:val="24"/>
        </w:rPr>
        <w:t>10F.  Closing Scripts</w:t>
      </w:r>
    </w:p>
    <w:p w14:paraId="78686F96" w14:textId="77777777" w:rsidR="00E3316C" w:rsidRPr="00E40C5D" w:rsidRDefault="00000000">
      <w:pPr>
        <w:spacing w:after="60"/>
        <w:ind w:left="720"/>
        <w:rPr>
          <w:rFonts w:ascii="Garamond" w:hAnsi="Garamond"/>
          <w:color w:val="000000" w:themeColor="text1"/>
          <w:sz w:val="24"/>
          <w:szCs w:val="24"/>
        </w:rPr>
      </w:pPr>
      <w:r w:rsidRPr="00E40C5D">
        <w:rPr>
          <w:rFonts w:ascii="Garamond" w:hAnsi="Garamond"/>
          <w:color w:val="000000" w:themeColor="text1"/>
          <w:sz w:val="24"/>
          <w:szCs w:val="24"/>
        </w:rPr>
        <w:t>"Before we stop, is there anything we should note so you feel okay leaving today?"</w:t>
      </w:r>
    </w:p>
    <w:p w14:paraId="598DCB72" w14:textId="77777777" w:rsidR="00E3316C" w:rsidRPr="00E40C5D" w:rsidRDefault="00000000">
      <w:pPr>
        <w:spacing w:after="60"/>
        <w:ind w:left="720"/>
        <w:rPr>
          <w:rFonts w:ascii="Garamond" w:hAnsi="Garamond"/>
          <w:color w:val="000000" w:themeColor="text1"/>
          <w:sz w:val="24"/>
          <w:szCs w:val="24"/>
        </w:rPr>
      </w:pPr>
      <w:r w:rsidRPr="00E40C5D">
        <w:rPr>
          <w:rFonts w:ascii="Garamond" w:hAnsi="Garamond"/>
          <w:color w:val="000000" w:themeColor="text1"/>
          <w:sz w:val="24"/>
          <w:szCs w:val="24"/>
        </w:rPr>
        <w:t>"What would help you feel grounded before you go?"</w:t>
      </w:r>
    </w:p>
    <w:p w14:paraId="2FC2BB4B" w14:textId="77777777" w:rsidR="00E3316C" w:rsidRPr="00E40C5D" w:rsidRDefault="00000000">
      <w:pPr>
        <w:spacing w:after="60"/>
        <w:ind w:left="720"/>
        <w:rPr>
          <w:rFonts w:ascii="Garamond" w:hAnsi="Garamond"/>
          <w:color w:val="000000" w:themeColor="text1"/>
          <w:sz w:val="24"/>
          <w:szCs w:val="24"/>
        </w:rPr>
      </w:pPr>
      <w:r w:rsidRPr="00E40C5D">
        <w:rPr>
          <w:rFonts w:ascii="Garamond" w:hAnsi="Garamond"/>
          <w:color w:val="000000" w:themeColor="text1"/>
          <w:sz w:val="24"/>
          <w:szCs w:val="24"/>
        </w:rPr>
        <w:t>"What would make it easier to return to this next time?"</w:t>
      </w:r>
    </w:p>
    <w:p w14:paraId="5C97EEC8" w14:textId="77777777" w:rsidR="00E3316C" w:rsidRPr="00E40C5D" w:rsidRDefault="00E3316C">
      <w:pPr>
        <w:spacing w:before="60" w:after="60"/>
        <w:rPr>
          <w:rFonts w:ascii="Garamond" w:hAnsi="Garamond"/>
          <w:color w:val="000000" w:themeColor="text1"/>
          <w:sz w:val="24"/>
          <w:szCs w:val="24"/>
        </w:rPr>
      </w:pPr>
    </w:p>
    <w:p w14:paraId="4BB053E2" w14:textId="77777777" w:rsidR="00E3316C" w:rsidRPr="00E40C5D" w:rsidRDefault="00000000">
      <w:pPr>
        <w:pStyle w:val="Heading3"/>
        <w:rPr>
          <w:rFonts w:ascii="Garamond" w:hAnsi="Garamond"/>
          <w:color w:val="000000" w:themeColor="text1"/>
          <w:sz w:val="24"/>
          <w:szCs w:val="24"/>
        </w:rPr>
      </w:pPr>
      <w:r w:rsidRPr="00E40C5D">
        <w:rPr>
          <w:rFonts w:ascii="Garamond" w:hAnsi="Garamond"/>
          <w:color w:val="000000" w:themeColor="text1"/>
          <w:sz w:val="24"/>
          <w:szCs w:val="24"/>
        </w:rPr>
        <w:t>10G.  Scripts for Weak Spots, Role Clarification, and Difficult Feedback</w:t>
      </w:r>
    </w:p>
    <w:p w14:paraId="468EEE27" w14:textId="77777777" w:rsidR="00E3316C" w:rsidRPr="00E40C5D" w:rsidRDefault="00000000">
      <w:pPr>
        <w:spacing w:after="60"/>
        <w:ind w:left="720"/>
        <w:rPr>
          <w:rFonts w:ascii="Garamond" w:hAnsi="Garamond"/>
          <w:color w:val="000000" w:themeColor="text1"/>
          <w:sz w:val="24"/>
          <w:szCs w:val="24"/>
        </w:rPr>
      </w:pPr>
      <w:r w:rsidRPr="00E40C5D">
        <w:rPr>
          <w:rFonts w:ascii="Garamond" w:hAnsi="Garamond"/>
          <w:color w:val="000000" w:themeColor="text1"/>
          <w:sz w:val="24"/>
          <w:szCs w:val="24"/>
        </w:rPr>
        <w:t>"Part of my role is to identify the weak spots in the case early so we can address them together. That does not mean I do not believe you."</w:t>
      </w:r>
    </w:p>
    <w:p w14:paraId="74531AF7" w14:textId="77777777" w:rsidR="00E3316C" w:rsidRPr="00E40C5D" w:rsidRDefault="00000000">
      <w:pPr>
        <w:spacing w:after="60"/>
        <w:ind w:left="720"/>
        <w:rPr>
          <w:rFonts w:ascii="Garamond" w:hAnsi="Garamond"/>
          <w:color w:val="000000" w:themeColor="text1"/>
          <w:sz w:val="24"/>
          <w:szCs w:val="24"/>
        </w:rPr>
      </w:pPr>
      <w:r w:rsidRPr="00E40C5D">
        <w:rPr>
          <w:rFonts w:ascii="Garamond" w:hAnsi="Garamond"/>
          <w:color w:val="000000" w:themeColor="text1"/>
          <w:sz w:val="24"/>
          <w:szCs w:val="24"/>
        </w:rPr>
        <w:t>"I may ask hard questions now because the other side may ask them later. I want us to prepare in a way that protects you."</w:t>
      </w:r>
    </w:p>
    <w:p w14:paraId="333E7CE7" w14:textId="77777777" w:rsidR="00E3316C" w:rsidRPr="00E40C5D" w:rsidRDefault="00000000">
      <w:pPr>
        <w:spacing w:after="60"/>
        <w:ind w:left="720"/>
        <w:rPr>
          <w:rFonts w:ascii="Garamond" w:hAnsi="Garamond"/>
          <w:color w:val="000000" w:themeColor="text1"/>
          <w:sz w:val="24"/>
          <w:szCs w:val="24"/>
        </w:rPr>
      </w:pPr>
      <w:r w:rsidRPr="00E40C5D">
        <w:rPr>
          <w:rFonts w:ascii="Garamond" w:hAnsi="Garamond"/>
          <w:color w:val="000000" w:themeColor="text1"/>
          <w:sz w:val="24"/>
          <w:szCs w:val="24"/>
        </w:rPr>
        <w:t xml:space="preserve">"Right </w:t>
      </w:r>
      <w:proofErr w:type="gramStart"/>
      <w:r w:rsidRPr="00E40C5D">
        <w:rPr>
          <w:rFonts w:ascii="Garamond" w:hAnsi="Garamond"/>
          <w:color w:val="000000" w:themeColor="text1"/>
          <w:sz w:val="24"/>
          <w:szCs w:val="24"/>
        </w:rPr>
        <w:t>now</w:t>
      </w:r>
      <w:proofErr w:type="gramEnd"/>
      <w:r w:rsidRPr="00E40C5D">
        <w:rPr>
          <w:rFonts w:ascii="Garamond" w:hAnsi="Garamond"/>
          <w:color w:val="000000" w:themeColor="text1"/>
          <w:sz w:val="24"/>
          <w:szCs w:val="24"/>
        </w:rPr>
        <w:t xml:space="preserve"> I am trying to understand what the law will require us to explain, not to judge whether what happened to </w:t>
      </w:r>
      <w:proofErr w:type="gramStart"/>
      <w:r w:rsidRPr="00E40C5D">
        <w:rPr>
          <w:rFonts w:ascii="Garamond" w:hAnsi="Garamond"/>
          <w:color w:val="000000" w:themeColor="text1"/>
          <w:sz w:val="24"/>
          <w:szCs w:val="24"/>
        </w:rPr>
        <w:t>you</w:t>
      </w:r>
      <w:proofErr w:type="gramEnd"/>
      <w:r w:rsidRPr="00E40C5D">
        <w:rPr>
          <w:rFonts w:ascii="Garamond" w:hAnsi="Garamond"/>
          <w:color w:val="000000" w:themeColor="text1"/>
          <w:sz w:val="24"/>
          <w:szCs w:val="24"/>
        </w:rPr>
        <w:t xml:space="preserve"> matters."</w:t>
      </w:r>
    </w:p>
    <w:p w14:paraId="7F4A7777" w14:textId="77777777" w:rsidR="00E3316C" w:rsidRPr="00E40C5D" w:rsidRDefault="00000000">
      <w:pPr>
        <w:spacing w:after="60"/>
        <w:ind w:left="720"/>
        <w:rPr>
          <w:rFonts w:ascii="Garamond" w:hAnsi="Garamond"/>
          <w:color w:val="000000" w:themeColor="text1"/>
          <w:sz w:val="24"/>
          <w:szCs w:val="24"/>
        </w:rPr>
      </w:pPr>
      <w:r w:rsidRPr="00E40C5D">
        <w:rPr>
          <w:rFonts w:ascii="Garamond" w:hAnsi="Garamond"/>
          <w:color w:val="000000" w:themeColor="text1"/>
          <w:sz w:val="24"/>
          <w:szCs w:val="24"/>
        </w:rPr>
        <w:t>"If there is a document or prior statement that seems different, let's slow down and understand what it means before we decide it is a contradiction."</w:t>
      </w:r>
    </w:p>
    <w:p w14:paraId="66D6105B" w14:textId="77777777" w:rsidR="00E3316C" w:rsidRPr="00E40C5D" w:rsidRDefault="00000000">
      <w:pPr>
        <w:rPr>
          <w:rFonts w:ascii="Garamond" w:hAnsi="Garamond"/>
          <w:color w:val="000000" w:themeColor="text1"/>
          <w:sz w:val="24"/>
          <w:szCs w:val="24"/>
        </w:rPr>
      </w:pPr>
      <w:r w:rsidRPr="00E40C5D">
        <w:rPr>
          <w:rFonts w:ascii="Garamond" w:hAnsi="Garamond"/>
          <w:color w:val="000000" w:themeColor="text1"/>
          <w:sz w:val="24"/>
          <w:szCs w:val="24"/>
        </w:rPr>
        <w:br w:type="page"/>
      </w:r>
    </w:p>
    <w:p w14:paraId="3D3E6420" w14:textId="77777777" w:rsidR="00E3316C" w:rsidRPr="00E40C5D" w:rsidRDefault="00000000">
      <w:pPr>
        <w:pStyle w:val="Heading2"/>
        <w:pBdr>
          <w:bottom w:val="single" w:sz="6" w:space="1" w:color="2E75B6"/>
        </w:pBdr>
        <w:rPr>
          <w:rFonts w:ascii="Garamond" w:hAnsi="Garamond"/>
          <w:color w:val="000000" w:themeColor="text1"/>
          <w:sz w:val="24"/>
          <w:szCs w:val="24"/>
        </w:rPr>
      </w:pPr>
      <w:r w:rsidRPr="00E40C5D">
        <w:rPr>
          <w:rFonts w:ascii="Garamond" w:hAnsi="Garamond"/>
          <w:color w:val="000000" w:themeColor="text1"/>
          <w:sz w:val="24"/>
          <w:szCs w:val="24"/>
        </w:rPr>
        <w:lastRenderedPageBreak/>
        <w:t>Section 11. Affidavit and Narrative Review Toolkit</w:t>
      </w:r>
    </w:p>
    <w:p w14:paraId="1D93FD23" w14:textId="77777777" w:rsidR="00E3316C" w:rsidRPr="00E40C5D" w:rsidRDefault="00000000">
      <w:pPr>
        <w:spacing w:after="120"/>
        <w:rPr>
          <w:rFonts w:ascii="Garamond" w:hAnsi="Garamond"/>
          <w:color w:val="000000" w:themeColor="text1"/>
          <w:sz w:val="24"/>
          <w:szCs w:val="24"/>
        </w:rPr>
      </w:pPr>
      <w:r w:rsidRPr="00E40C5D">
        <w:rPr>
          <w:rFonts w:ascii="Garamond" w:hAnsi="Garamond"/>
          <w:color w:val="000000" w:themeColor="text1"/>
          <w:sz w:val="24"/>
          <w:szCs w:val="24"/>
        </w:rPr>
        <w:t>The declaration is the central legal narrative in an asylum case, and errors in its construction carry direct consequences for credibility assessment. This review toolkit is designed to catch problems before filing rather than after. It draws on research showing that repeated retellings generate discrepancies in peripheral detail without deception—particularly as time passes and trauma symptoms remain active (Herlihy et al., 2002; Herlihy &amp; Turner, 2015)—and on comparative toolkit analysis demonstrating that declarations improve substantially when practitioners review them systematically for holes, transitions, actor clarity, and support needs rather than focusing solely on prose editing (American Bar Association Commission on Immigration &amp; HIAS, 2022; European Union Agency for Asylum, 2024).</w:t>
      </w:r>
    </w:p>
    <w:p w14:paraId="5162F591" w14:textId="77777777" w:rsidR="00E3316C" w:rsidRPr="00E40C5D" w:rsidRDefault="00E3316C">
      <w:pPr>
        <w:spacing w:before="60" w:after="60"/>
        <w:rPr>
          <w:rFonts w:ascii="Garamond" w:hAnsi="Garamond"/>
          <w:color w:val="000000" w:themeColor="text1"/>
          <w:sz w:val="24"/>
          <w:szCs w:val="24"/>
        </w:rPr>
      </w:pPr>
    </w:p>
    <w:p w14:paraId="5C738AF3" w14:textId="77777777" w:rsidR="00E3316C" w:rsidRPr="00E40C5D" w:rsidRDefault="00000000">
      <w:pPr>
        <w:pStyle w:val="Heading3"/>
        <w:rPr>
          <w:rFonts w:ascii="Garamond" w:hAnsi="Garamond"/>
          <w:color w:val="000000" w:themeColor="text1"/>
          <w:sz w:val="24"/>
          <w:szCs w:val="24"/>
        </w:rPr>
      </w:pPr>
      <w:r w:rsidRPr="00E40C5D">
        <w:rPr>
          <w:rFonts w:ascii="Garamond" w:hAnsi="Garamond"/>
          <w:color w:val="000000" w:themeColor="text1"/>
          <w:sz w:val="24"/>
          <w:szCs w:val="24"/>
        </w:rPr>
        <w:t>11A.  Core Review Questions</w:t>
      </w:r>
    </w:p>
    <w:p w14:paraId="57A66CDC"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Do</w:t>
      </w:r>
      <w:proofErr w:type="gramEnd"/>
      <w:r w:rsidRPr="00E40C5D">
        <w:rPr>
          <w:rFonts w:ascii="Garamond" w:hAnsi="Garamond"/>
          <w:color w:val="000000" w:themeColor="text1"/>
          <w:sz w:val="24"/>
          <w:szCs w:val="24"/>
        </w:rPr>
        <w:t xml:space="preserve"> we understand the client's background and social context well enough to interpret the narrative?</w:t>
      </w:r>
    </w:p>
    <w:p w14:paraId="26AB12EF"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Is</w:t>
      </w:r>
      <w:proofErr w:type="gramEnd"/>
      <w:r w:rsidRPr="00E40C5D">
        <w:rPr>
          <w:rFonts w:ascii="Garamond" w:hAnsi="Garamond"/>
          <w:color w:val="000000" w:themeColor="text1"/>
          <w:sz w:val="24"/>
          <w:szCs w:val="24"/>
        </w:rPr>
        <w:t xml:space="preserve"> the persecution story chronologically understandable, even if exact dates are not available?</w:t>
      </w:r>
    </w:p>
    <w:p w14:paraId="0C021A97"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Is</w:t>
      </w:r>
      <w:proofErr w:type="gramEnd"/>
      <w:r w:rsidRPr="00E40C5D">
        <w:rPr>
          <w:rFonts w:ascii="Garamond" w:hAnsi="Garamond"/>
          <w:color w:val="000000" w:themeColor="text1"/>
          <w:sz w:val="24"/>
          <w:szCs w:val="24"/>
        </w:rPr>
        <w:t xml:space="preserve"> nexus visible, or is it only implied?</w:t>
      </w:r>
    </w:p>
    <w:p w14:paraId="47C2DC6F"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Are</w:t>
      </w:r>
      <w:proofErr w:type="gramEnd"/>
      <w:r w:rsidRPr="00E40C5D">
        <w:rPr>
          <w:rFonts w:ascii="Garamond" w:hAnsi="Garamond"/>
          <w:color w:val="000000" w:themeColor="text1"/>
          <w:sz w:val="24"/>
          <w:szCs w:val="24"/>
        </w:rPr>
        <w:t xml:space="preserve"> transitions missing between event, aftermath, flight, post-arrival, and present fear?</w:t>
      </w:r>
    </w:p>
    <w:p w14:paraId="198F7667"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Are</w:t>
      </w:r>
      <w:proofErr w:type="gramEnd"/>
      <w:r w:rsidRPr="00E40C5D">
        <w:rPr>
          <w:rFonts w:ascii="Garamond" w:hAnsi="Garamond"/>
          <w:color w:val="000000" w:themeColor="text1"/>
          <w:sz w:val="24"/>
          <w:szCs w:val="24"/>
        </w:rPr>
        <w:t xml:space="preserve"> there unexplained gaps, delays, or late disclosures that require clarification?</w:t>
      </w:r>
    </w:p>
    <w:p w14:paraId="2FBE0C5C"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Are</w:t>
      </w:r>
      <w:proofErr w:type="gramEnd"/>
      <w:r w:rsidRPr="00E40C5D">
        <w:rPr>
          <w:rFonts w:ascii="Garamond" w:hAnsi="Garamond"/>
          <w:color w:val="000000" w:themeColor="text1"/>
          <w:sz w:val="24"/>
          <w:szCs w:val="24"/>
        </w:rPr>
        <w:t xml:space="preserve"> there places where context or short science references might help interpretation?</w:t>
      </w:r>
    </w:p>
    <w:p w14:paraId="28ECEF14"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Is</w:t>
      </w:r>
      <w:proofErr w:type="gramEnd"/>
      <w:r w:rsidRPr="00E40C5D">
        <w:rPr>
          <w:rFonts w:ascii="Garamond" w:hAnsi="Garamond"/>
          <w:color w:val="000000" w:themeColor="text1"/>
          <w:sz w:val="24"/>
          <w:szCs w:val="24"/>
        </w:rPr>
        <w:t xml:space="preserve"> the client's own voice still present?</w:t>
      </w:r>
    </w:p>
    <w:p w14:paraId="249C9AF3"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Would</w:t>
      </w:r>
      <w:proofErr w:type="gramEnd"/>
      <w:r w:rsidRPr="00E40C5D">
        <w:rPr>
          <w:rFonts w:ascii="Garamond" w:hAnsi="Garamond"/>
          <w:color w:val="000000" w:themeColor="text1"/>
          <w:sz w:val="24"/>
          <w:szCs w:val="24"/>
        </w:rPr>
        <w:t xml:space="preserve"> this declaration survive a pretermission-style challenge that says it is too thin, too vague, or missing a key element?</w:t>
      </w:r>
    </w:p>
    <w:p w14:paraId="26F11719" w14:textId="77777777" w:rsidR="00E3316C" w:rsidRPr="00E40C5D" w:rsidRDefault="00E3316C">
      <w:pPr>
        <w:spacing w:before="60" w:after="60"/>
        <w:rPr>
          <w:rFonts w:ascii="Garamond" w:hAnsi="Garamond"/>
          <w:color w:val="000000" w:themeColor="text1"/>
          <w:sz w:val="24"/>
          <w:szCs w:val="24"/>
        </w:rPr>
      </w:pPr>
    </w:p>
    <w:p w14:paraId="0A0FE41D" w14:textId="77777777" w:rsidR="00E3316C" w:rsidRPr="00E40C5D" w:rsidRDefault="00000000">
      <w:pPr>
        <w:pStyle w:val="Heading3"/>
        <w:rPr>
          <w:rFonts w:ascii="Garamond" w:hAnsi="Garamond"/>
          <w:color w:val="000000" w:themeColor="text1"/>
          <w:sz w:val="24"/>
          <w:szCs w:val="24"/>
        </w:rPr>
      </w:pPr>
      <w:r w:rsidRPr="00E40C5D">
        <w:rPr>
          <w:rFonts w:ascii="Garamond" w:hAnsi="Garamond"/>
          <w:color w:val="000000" w:themeColor="text1"/>
          <w:sz w:val="24"/>
          <w:szCs w:val="24"/>
        </w:rPr>
        <w:t>11B.  Hole Prompts</w:t>
      </w:r>
    </w:p>
    <w:p w14:paraId="1EAEF1B2"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What</w:t>
      </w:r>
      <w:proofErr w:type="gramEnd"/>
      <w:r w:rsidRPr="00E40C5D">
        <w:rPr>
          <w:rFonts w:ascii="Garamond" w:hAnsi="Garamond"/>
          <w:color w:val="000000" w:themeColor="text1"/>
          <w:sz w:val="24"/>
          <w:szCs w:val="24"/>
        </w:rPr>
        <w:t xml:space="preserve"> would a reader not understand here?</w:t>
      </w:r>
    </w:p>
    <w:p w14:paraId="387B063E"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What</w:t>
      </w:r>
      <w:proofErr w:type="gramEnd"/>
      <w:r w:rsidRPr="00E40C5D">
        <w:rPr>
          <w:rFonts w:ascii="Garamond" w:hAnsi="Garamond"/>
          <w:color w:val="000000" w:themeColor="text1"/>
          <w:sz w:val="24"/>
          <w:szCs w:val="24"/>
        </w:rPr>
        <w:t xml:space="preserve"> would make this sequence clearer?</w:t>
      </w:r>
    </w:p>
    <w:p w14:paraId="62AB446D"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What</w:t>
      </w:r>
      <w:proofErr w:type="gramEnd"/>
      <w:r w:rsidRPr="00E40C5D">
        <w:rPr>
          <w:rFonts w:ascii="Garamond" w:hAnsi="Garamond"/>
          <w:color w:val="000000" w:themeColor="text1"/>
          <w:sz w:val="24"/>
          <w:szCs w:val="24"/>
        </w:rPr>
        <w:t xml:space="preserve"> context is assumed but not written?</w:t>
      </w:r>
    </w:p>
    <w:p w14:paraId="5F6CE383"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What</w:t>
      </w:r>
      <w:proofErr w:type="gramEnd"/>
      <w:r w:rsidRPr="00E40C5D">
        <w:rPr>
          <w:rFonts w:ascii="Garamond" w:hAnsi="Garamond"/>
          <w:color w:val="000000" w:themeColor="text1"/>
          <w:sz w:val="24"/>
          <w:szCs w:val="24"/>
        </w:rPr>
        <w:t xml:space="preserve"> happened between this event and the next?</w:t>
      </w:r>
    </w:p>
    <w:p w14:paraId="6F60F13A"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Where</w:t>
      </w:r>
      <w:proofErr w:type="gramEnd"/>
      <w:r w:rsidRPr="00E40C5D">
        <w:rPr>
          <w:rFonts w:ascii="Garamond" w:hAnsi="Garamond"/>
          <w:color w:val="000000" w:themeColor="text1"/>
          <w:sz w:val="24"/>
          <w:szCs w:val="24"/>
        </w:rPr>
        <w:t xml:space="preserve"> does the protected ground become visible?</w:t>
      </w:r>
    </w:p>
    <w:p w14:paraId="751339B3"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What</w:t>
      </w:r>
      <w:proofErr w:type="gramEnd"/>
      <w:r w:rsidRPr="00E40C5D">
        <w:rPr>
          <w:rFonts w:ascii="Garamond" w:hAnsi="Garamond"/>
          <w:color w:val="000000" w:themeColor="text1"/>
          <w:sz w:val="24"/>
          <w:szCs w:val="24"/>
        </w:rPr>
        <w:t xml:space="preserve"> is over-explained in a way that weakens rather than strengthens the declaration?</w:t>
      </w:r>
    </w:p>
    <w:p w14:paraId="7D997CFD" w14:textId="77777777" w:rsidR="00E3316C" w:rsidRPr="00E40C5D" w:rsidRDefault="00E3316C">
      <w:pPr>
        <w:spacing w:before="60" w:after="60"/>
        <w:rPr>
          <w:rFonts w:ascii="Garamond" w:hAnsi="Garamond"/>
          <w:color w:val="000000" w:themeColor="text1"/>
          <w:sz w:val="24"/>
          <w:szCs w:val="24"/>
        </w:rPr>
      </w:pPr>
    </w:p>
    <w:p w14:paraId="045CE495" w14:textId="77777777" w:rsidR="00E3316C" w:rsidRPr="00E40C5D" w:rsidRDefault="00000000">
      <w:pPr>
        <w:pStyle w:val="Heading3"/>
        <w:rPr>
          <w:rFonts w:ascii="Garamond" w:hAnsi="Garamond"/>
          <w:color w:val="000000" w:themeColor="text1"/>
          <w:sz w:val="24"/>
          <w:szCs w:val="24"/>
        </w:rPr>
      </w:pPr>
      <w:r w:rsidRPr="00E40C5D">
        <w:rPr>
          <w:rFonts w:ascii="Garamond" w:hAnsi="Garamond"/>
          <w:color w:val="000000" w:themeColor="text1"/>
          <w:sz w:val="24"/>
          <w:szCs w:val="24"/>
        </w:rPr>
        <w:t>11C.  Review Worksheet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20"/>
        <w:gridCol w:w="3320"/>
        <w:gridCol w:w="3480"/>
      </w:tblGrid>
      <w:tr w:rsidR="00E3316C" w:rsidRPr="00102618" w14:paraId="15A65B3C" w14:textId="77777777">
        <w:trPr>
          <w:tblHeader/>
        </w:trPr>
        <w:tc>
          <w:tcPr>
            <w:tcW w:w="29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7AB9E68A" w14:textId="77777777" w:rsidR="00E3316C" w:rsidRPr="00102618" w:rsidRDefault="00000000">
            <w:pPr>
              <w:rPr>
                <w:rFonts w:ascii="Garamond" w:hAnsi="Garamond"/>
                <w:sz w:val="24"/>
                <w:szCs w:val="24"/>
              </w:rPr>
            </w:pPr>
            <w:r w:rsidRPr="00102618">
              <w:rPr>
                <w:rFonts w:ascii="Garamond" w:hAnsi="Garamond"/>
                <w:b/>
                <w:bCs/>
                <w:color w:val="FFFFFF"/>
                <w:sz w:val="24"/>
                <w:szCs w:val="24"/>
              </w:rPr>
              <w:t>Review Area</w:t>
            </w:r>
          </w:p>
        </w:tc>
        <w:tc>
          <w:tcPr>
            <w:tcW w:w="33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48CE4819" w14:textId="77777777" w:rsidR="00E3316C" w:rsidRPr="00102618" w:rsidRDefault="00000000">
            <w:pPr>
              <w:rPr>
                <w:rFonts w:ascii="Garamond" w:hAnsi="Garamond"/>
                <w:sz w:val="24"/>
                <w:szCs w:val="24"/>
              </w:rPr>
            </w:pPr>
            <w:r w:rsidRPr="00102618">
              <w:rPr>
                <w:rFonts w:ascii="Garamond" w:hAnsi="Garamond"/>
                <w:b/>
                <w:bCs/>
                <w:color w:val="FFFFFF"/>
                <w:sz w:val="24"/>
                <w:szCs w:val="24"/>
              </w:rPr>
              <w:t>What Is Missing / Unclear?</w:t>
            </w:r>
          </w:p>
        </w:tc>
        <w:tc>
          <w:tcPr>
            <w:tcW w:w="348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2CB0CC9D" w14:textId="77777777" w:rsidR="00E3316C" w:rsidRPr="00102618" w:rsidRDefault="00000000">
            <w:pPr>
              <w:rPr>
                <w:rFonts w:ascii="Garamond" w:hAnsi="Garamond"/>
                <w:sz w:val="24"/>
                <w:szCs w:val="24"/>
              </w:rPr>
            </w:pPr>
            <w:r w:rsidRPr="00102618">
              <w:rPr>
                <w:rFonts w:ascii="Garamond" w:hAnsi="Garamond"/>
                <w:b/>
                <w:bCs/>
                <w:color w:val="FFFFFF"/>
                <w:sz w:val="24"/>
                <w:szCs w:val="24"/>
              </w:rPr>
              <w:t>Action Needed</w:t>
            </w:r>
          </w:p>
        </w:tc>
      </w:tr>
      <w:tr w:rsidR="00E3316C" w:rsidRPr="00102618" w14:paraId="3564A4E5" w14:textId="77777777">
        <w:tc>
          <w:tcPr>
            <w:tcW w:w="29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A06C91E" w14:textId="77777777" w:rsidR="00E3316C" w:rsidRPr="00102618" w:rsidRDefault="00000000">
            <w:pPr>
              <w:rPr>
                <w:rFonts w:ascii="Garamond" w:hAnsi="Garamond"/>
                <w:sz w:val="24"/>
                <w:szCs w:val="24"/>
              </w:rPr>
            </w:pPr>
            <w:r w:rsidRPr="00102618">
              <w:rPr>
                <w:rFonts w:ascii="Garamond" w:hAnsi="Garamond"/>
                <w:sz w:val="24"/>
                <w:szCs w:val="24"/>
              </w:rPr>
              <w:t>Chronology</w:t>
            </w:r>
          </w:p>
        </w:tc>
        <w:tc>
          <w:tcPr>
            <w:tcW w:w="33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615E3FD7" w14:textId="77777777" w:rsidR="00E3316C" w:rsidRPr="00102618" w:rsidRDefault="00E3316C">
            <w:pPr>
              <w:rPr>
                <w:rFonts w:ascii="Garamond" w:hAnsi="Garamond"/>
                <w:sz w:val="24"/>
                <w:szCs w:val="24"/>
              </w:rPr>
            </w:pPr>
          </w:p>
        </w:tc>
        <w:tc>
          <w:tcPr>
            <w:tcW w:w="34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77C400EE" w14:textId="77777777" w:rsidR="00E3316C" w:rsidRPr="00102618" w:rsidRDefault="00E3316C">
            <w:pPr>
              <w:rPr>
                <w:rFonts w:ascii="Garamond" w:hAnsi="Garamond"/>
                <w:sz w:val="24"/>
                <w:szCs w:val="24"/>
              </w:rPr>
            </w:pPr>
          </w:p>
        </w:tc>
      </w:tr>
      <w:tr w:rsidR="00E3316C" w:rsidRPr="00102618" w14:paraId="540D4213" w14:textId="77777777">
        <w:tc>
          <w:tcPr>
            <w:tcW w:w="29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7116B763" w14:textId="77777777" w:rsidR="00E3316C" w:rsidRPr="00102618" w:rsidRDefault="00000000">
            <w:pPr>
              <w:rPr>
                <w:rFonts w:ascii="Garamond" w:hAnsi="Garamond"/>
                <w:sz w:val="24"/>
                <w:szCs w:val="24"/>
              </w:rPr>
            </w:pPr>
            <w:r w:rsidRPr="00102618">
              <w:rPr>
                <w:rFonts w:ascii="Garamond" w:hAnsi="Garamond"/>
                <w:sz w:val="24"/>
                <w:szCs w:val="24"/>
              </w:rPr>
              <w:t>Nexus / protected ground</w:t>
            </w:r>
          </w:p>
        </w:tc>
        <w:tc>
          <w:tcPr>
            <w:tcW w:w="33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0F8634C6" w14:textId="77777777" w:rsidR="00E3316C" w:rsidRPr="00102618" w:rsidRDefault="00E3316C">
            <w:pPr>
              <w:rPr>
                <w:rFonts w:ascii="Garamond" w:hAnsi="Garamond"/>
                <w:sz w:val="24"/>
                <w:szCs w:val="24"/>
              </w:rPr>
            </w:pPr>
          </w:p>
        </w:tc>
        <w:tc>
          <w:tcPr>
            <w:tcW w:w="348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2AA3414F" w14:textId="77777777" w:rsidR="00E3316C" w:rsidRPr="00102618" w:rsidRDefault="00E3316C">
            <w:pPr>
              <w:rPr>
                <w:rFonts w:ascii="Garamond" w:hAnsi="Garamond"/>
                <w:sz w:val="24"/>
                <w:szCs w:val="24"/>
              </w:rPr>
            </w:pPr>
          </w:p>
        </w:tc>
      </w:tr>
      <w:tr w:rsidR="00E3316C" w:rsidRPr="00102618" w14:paraId="09826AE9" w14:textId="77777777">
        <w:tc>
          <w:tcPr>
            <w:tcW w:w="29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1BACAC98" w14:textId="77777777" w:rsidR="00E3316C" w:rsidRPr="00102618" w:rsidRDefault="00000000">
            <w:pPr>
              <w:rPr>
                <w:rFonts w:ascii="Garamond" w:hAnsi="Garamond"/>
                <w:sz w:val="24"/>
                <w:szCs w:val="24"/>
              </w:rPr>
            </w:pPr>
            <w:r w:rsidRPr="00102618">
              <w:rPr>
                <w:rFonts w:ascii="Garamond" w:hAnsi="Garamond"/>
                <w:sz w:val="24"/>
                <w:szCs w:val="24"/>
              </w:rPr>
              <w:lastRenderedPageBreak/>
              <w:t>Transitions</w:t>
            </w:r>
          </w:p>
        </w:tc>
        <w:tc>
          <w:tcPr>
            <w:tcW w:w="33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4A6606F4" w14:textId="77777777" w:rsidR="00E3316C" w:rsidRPr="00102618" w:rsidRDefault="00E3316C">
            <w:pPr>
              <w:rPr>
                <w:rFonts w:ascii="Garamond" w:hAnsi="Garamond"/>
                <w:sz w:val="24"/>
                <w:szCs w:val="24"/>
              </w:rPr>
            </w:pPr>
          </w:p>
        </w:tc>
        <w:tc>
          <w:tcPr>
            <w:tcW w:w="34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4725A046" w14:textId="77777777" w:rsidR="00E3316C" w:rsidRPr="00102618" w:rsidRDefault="00E3316C">
            <w:pPr>
              <w:rPr>
                <w:rFonts w:ascii="Garamond" w:hAnsi="Garamond"/>
                <w:sz w:val="24"/>
                <w:szCs w:val="24"/>
              </w:rPr>
            </w:pPr>
          </w:p>
        </w:tc>
      </w:tr>
      <w:tr w:rsidR="00E3316C" w:rsidRPr="00102618" w14:paraId="1F49A126" w14:textId="77777777">
        <w:tc>
          <w:tcPr>
            <w:tcW w:w="29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6B4C1913" w14:textId="77777777" w:rsidR="00E3316C" w:rsidRPr="00102618" w:rsidRDefault="00000000">
            <w:pPr>
              <w:rPr>
                <w:rFonts w:ascii="Garamond" w:hAnsi="Garamond"/>
                <w:sz w:val="24"/>
                <w:szCs w:val="24"/>
              </w:rPr>
            </w:pPr>
            <w:r w:rsidRPr="00102618">
              <w:rPr>
                <w:rFonts w:ascii="Garamond" w:hAnsi="Garamond"/>
                <w:sz w:val="24"/>
                <w:szCs w:val="24"/>
              </w:rPr>
              <w:t>Delay / disclosure</w:t>
            </w:r>
          </w:p>
        </w:tc>
        <w:tc>
          <w:tcPr>
            <w:tcW w:w="33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616AE317" w14:textId="77777777" w:rsidR="00E3316C" w:rsidRPr="00102618" w:rsidRDefault="00E3316C">
            <w:pPr>
              <w:rPr>
                <w:rFonts w:ascii="Garamond" w:hAnsi="Garamond"/>
                <w:sz w:val="24"/>
                <w:szCs w:val="24"/>
              </w:rPr>
            </w:pPr>
          </w:p>
        </w:tc>
        <w:tc>
          <w:tcPr>
            <w:tcW w:w="348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5C96C67D" w14:textId="77777777" w:rsidR="00E3316C" w:rsidRPr="00102618" w:rsidRDefault="00E3316C">
            <w:pPr>
              <w:rPr>
                <w:rFonts w:ascii="Garamond" w:hAnsi="Garamond"/>
                <w:sz w:val="24"/>
                <w:szCs w:val="24"/>
              </w:rPr>
            </w:pPr>
          </w:p>
        </w:tc>
      </w:tr>
      <w:tr w:rsidR="00E3316C" w:rsidRPr="00102618" w14:paraId="1BD6E22E" w14:textId="77777777">
        <w:tc>
          <w:tcPr>
            <w:tcW w:w="29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66B7EC52" w14:textId="77777777" w:rsidR="00E3316C" w:rsidRPr="00102618" w:rsidRDefault="00000000">
            <w:pPr>
              <w:rPr>
                <w:rFonts w:ascii="Garamond" w:hAnsi="Garamond"/>
                <w:sz w:val="24"/>
                <w:szCs w:val="24"/>
              </w:rPr>
            </w:pPr>
            <w:r w:rsidRPr="00102618">
              <w:rPr>
                <w:rFonts w:ascii="Garamond" w:hAnsi="Garamond"/>
                <w:sz w:val="24"/>
                <w:szCs w:val="24"/>
              </w:rPr>
              <w:t>Relocation / flight</w:t>
            </w:r>
          </w:p>
        </w:tc>
        <w:tc>
          <w:tcPr>
            <w:tcW w:w="33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38F1E480" w14:textId="77777777" w:rsidR="00E3316C" w:rsidRPr="00102618" w:rsidRDefault="00E3316C">
            <w:pPr>
              <w:rPr>
                <w:rFonts w:ascii="Garamond" w:hAnsi="Garamond"/>
                <w:sz w:val="24"/>
                <w:szCs w:val="24"/>
              </w:rPr>
            </w:pPr>
          </w:p>
        </w:tc>
        <w:tc>
          <w:tcPr>
            <w:tcW w:w="34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32D7CCC1" w14:textId="77777777" w:rsidR="00E3316C" w:rsidRPr="00102618" w:rsidRDefault="00E3316C">
            <w:pPr>
              <w:rPr>
                <w:rFonts w:ascii="Garamond" w:hAnsi="Garamond"/>
                <w:sz w:val="24"/>
                <w:szCs w:val="24"/>
              </w:rPr>
            </w:pPr>
          </w:p>
        </w:tc>
      </w:tr>
      <w:tr w:rsidR="00E3316C" w:rsidRPr="00102618" w14:paraId="7C0E7914" w14:textId="77777777">
        <w:tc>
          <w:tcPr>
            <w:tcW w:w="29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1DAFBEED" w14:textId="77777777" w:rsidR="00E3316C" w:rsidRPr="00102618" w:rsidRDefault="00000000">
            <w:pPr>
              <w:rPr>
                <w:rFonts w:ascii="Garamond" w:hAnsi="Garamond"/>
                <w:sz w:val="24"/>
                <w:szCs w:val="24"/>
              </w:rPr>
            </w:pPr>
            <w:r w:rsidRPr="00102618">
              <w:rPr>
                <w:rFonts w:ascii="Garamond" w:hAnsi="Garamond"/>
                <w:sz w:val="24"/>
                <w:szCs w:val="24"/>
              </w:rPr>
              <w:t>Post-arrival / present fear</w:t>
            </w:r>
          </w:p>
        </w:tc>
        <w:tc>
          <w:tcPr>
            <w:tcW w:w="33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7A3C571F" w14:textId="77777777" w:rsidR="00E3316C" w:rsidRPr="00102618" w:rsidRDefault="00E3316C">
            <w:pPr>
              <w:rPr>
                <w:rFonts w:ascii="Garamond" w:hAnsi="Garamond"/>
                <w:sz w:val="24"/>
                <w:szCs w:val="24"/>
              </w:rPr>
            </w:pPr>
          </w:p>
        </w:tc>
        <w:tc>
          <w:tcPr>
            <w:tcW w:w="348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77E735F9" w14:textId="77777777" w:rsidR="00E3316C" w:rsidRPr="00102618" w:rsidRDefault="00E3316C">
            <w:pPr>
              <w:rPr>
                <w:rFonts w:ascii="Garamond" w:hAnsi="Garamond"/>
                <w:sz w:val="24"/>
                <w:szCs w:val="24"/>
              </w:rPr>
            </w:pPr>
          </w:p>
        </w:tc>
      </w:tr>
      <w:tr w:rsidR="00E3316C" w:rsidRPr="00102618" w14:paraId="19F301BC" w14:textId="77777777">
        <w:tc>
          <w:tcPr>
            <w:tcW w:w="29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247FC8F" w14:textId="77777777" w:rsidR="00E3316C" w:rsidRPr="00102618" w:rsidRDefault="00000000">
            <w:pPr>
              <w:rPr>
                <w:rFonts w:ascii="Garamond" w:hAnsi="Garamond"/>
                <w:sz w:val="24"/>
                <w:szCs w:val="24"/>
              </w:rPr>
            </w:pPr>
            <w:r w:rsidRPr="00102618">
              <w:rPr>
                <w:rFonts w:ascii="Garamond" w:hAnsi="Garamond"/>
                <w:sz w:val="24"/>
                <w:szCs w:val="24"/>
              </w:rPr>
              <w:t>Voice / over-explaining</w:t>
            </w:r>
          </w:p>
        </w:tc>
        <w:tc>
          <w:tcPr>
            <w:tcW w:w="33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EB0E360" w14:textId="77777777" w:rsidR="00E3316C" w:rsidRPr="00102618" w:rsidRDefault="00E3316C">
            <w:pPr>
              <w:rPr>
                <w:rFonts w:ascii="Garamond" w:hAnsi="Garamond"/>
                <w:sz w:val="24"/>
                <w:szCs w:val="24"/>
              </w:rPr>
            </w:pPr>
          </w:p>
        </w:tc>
        <w:tc>
          <w:tcPr>
            <w:tcW w:w="34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30FA327" w14:textId="77777777" w:rsidR="00E3316C" w:rsidRPr="00102618" w:rsidRDefault="00E3316C">
            <w:pPr>
              <w:rPr>
                <w:rFonts w:ascii="Garamond" w:hAnsi="Garamond"/>
                <w:sz w:val="24"/>
                <w:szCs w:val="24"/>
              </w:rPr>
            </w:pPr>
          </w:p>
        </w:tc>
      </w:tr>
      <w:tr w:rsidR="00E3316C" w:rsidRPr="00102618" w14:paraId="67F9F719" w14:textId="77777777">
        <w:tc>
          <w:tcPr>
            <w:tcW w:w="29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1A9658B9" w14:textId="77777777" w:rsidR="00E3316C" w:rsidRPr="00102618" w:rsidRDefault="00000000">
            <w:pPr>
              <w:rPr>
                <w:rFonts w:ascii="Garamond" w:hAnsi="Garamond"/>
                <w:sz w:val="24"/>
                <w:szCs w:val="24"/>
              </w:rPr>
            </w:pPr>
            <w:r w:rsidRPr="00102618">
              <w:rPr>
                <w:rFonts w:ascii="Garamond" w:hAnsi="Garamond"/>
                <w:sz w:val="24"/>
                <w:szCs w:val="24"/>
              </w:rPr>
              <w:t>Corroboration gaps</w:t>
            </w:r>
          </w:p>
        </w:tc>
        <w:tc>
          <w:tcPr>
            <w:tcW w:w="33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14D6795E" w14:textId="77777777" w:rsidR="00E3316C" w:rsidRPr="00102618" w:rsidRDefault="00E3316C">
            <w:pPr>
              <w:rPr>
                <w:rFonts w:ascii="Garamond" w:hAnsi="Garamond"/>
                <w:sz w:val="24"/>
                <w:szCs w:val="24"/>
              </w:rPr>
            </w:pPr>
          </w:p>
        </w:tc>
        <w:tc>
          <w:tcPr>
            <w:tcW w:w="348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02FABB8E" w14:textId="77777777" w:rsidR="00E3316C" w:rsidRPr="00102618" w:rsidRDefault="00E3316C">
            <w:pPr>
              <w:rPr>
                <w:rFonts w:ascii="Garamond" w:hAnsi="Garamond"/>
                <w:sz w:val="24"/>
                <w:szCs w:val="24"/>
              </w:rPr>
            </w:pPr>
          </w:p>
        </w:tc>
      </w:tr>
    </w:tbl>
    <w:p w14:paraId="7B8962FB" w14:textId="77777777" w:rsidR="00E3316C" w:rsidRPr="00102618" w:rsidRDefault="00E3316C">
      <w:pPr>
        <w:spacing w:before="60" w:after="60"/>
        <w:rPr>
          <w:rFonts w:ascii="Garamond" w:hAnsi="Garamond"/>
          <w:sz w:val="24"/>
          <w:szCs w:val="24"/>
        </w:rPr>
      </w:pPr>
    </w:p>
    <w:p w14:paraId="60A7336A" w14:textId="77777777" w:rsidR="00E3316C" w:rsidRPr="00E40C5D" w:rsidRDefault="00000000">
      <w:pPr>
        <w:pStyle w:val="Heading3"/>
        <w:rPr>
          <w:rFonts w:ascii="Garamond" w:hAnsi="Garamond"/>
          <w:color w:val="000000" w:themeColor="text1"/>
          <w:sz w:val="24"/>
          <w:szCs w:val="24"/>
        </w:rPr>
      </w:pPr>
      <w:r w:rsidRPr="00E40C5D">
        <w:rPr>
          <w:rFonts w:ascii="Garamond" w:hAnsi="Garamond"/>
          <w:color w:val="000000" w:themeColor="text1"/>
          <w:sz w:val="24"/>
          <w:szCs w:val="24"/>
        </w:rPr>
        <w:t>11D.  Core vs. Peripheral Detail Evaluation Matrix</w:t>
      </w:r>
    </w:p>
    <w:p w14:paraId="096C497F" w14:textId="77777777" w:rsidR="00E3316C" w:rsidRPr="00102618" w:rsidRDefault="00000000">
      <w:pPr>
        <w:spacing w:after="120"/>
        <w:rPr>
          <w:rFonts w:ascii="Garamond" w:hAnsi="Garamond"/>
          <w:sz w:val="24"/>
          <w:szCs w:val="24"/>
        </w:rPr>
      </w:pPr>
      <w:r w:rsidRPr="00102618">
        <w:rPr>
          <w:rFonts w:ascii="Garamond" w:hAnsi="Garamond"/>
          <w:sz w:val="24"/>
          <w:szCs w:val="24"/>
        </w:rPr>
        <w:t>Use this matrix whenever discrepancies appear across interviews, declarations, pro se materials, or prior notes. The goal is not to erase differences but to classify them accurately and decide whether they require repair, clarification, or a science note.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40"/>
        <w:gridCol w:w="2140"/>
        <w:gridCol w:w="2140"/>
        <w:gridCol w:w="2700"/>
      </w:tblGrid>
      <w:tr w:rsidR="00E3316C" w:rsidRPr="00102618" w14:paraId="284B18BB" w14:textId="77777777">
        <w:trPr>
          <w:tblHeader/>
        </w:trPr>
        <w:tc>
          <w:tcPr>
            <w:tcW w:w="274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1A4C3467" w14:textId="77777777" w:rsidR="00E3316C" w:rsidRPr="00102618" w:rsidRDefault="00000000">
            <w:pPr>
              <w:rPr>
                <w:rFonts w:ascii="Garamond" w:hAnsi="Garamond"/>
                <w:sz w:val="24"/>
                <w:szCs w:val="24"/>
              </w:rPr>
            </w:pPr>
            <w:r w:rsidRPr="00102618">
              <w:rPr>
                <w:rFonts w:ascii="Garamond" w:hAnsi="Garamond"/>
                <w:b/>
                <w:bCs/>
                <w:color w:val="FFFFFF"/>
                <w:sz w:val="24"/>
                <w:szCs w:val="24"/>
              </w:rPr>
              <w:t>Discrepancy Identified</w:t>
            </w:r>
          </w:p>
        </w:tc>
        <w:tc>
          <w:tcPr>
            <w:tcW w:w="214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78830DC9" w14:textId="77777777" w:rsidR="00E3316C" w:rsidRPr="00102618" w:rsidRDefault="00000000">
            <w:pPr>
              <w:rPr>
                <w:rFonts w:ascii="Garamond" w:hAnsi="Garamond"/>
                <w:sz w:val="24"/>
                <w:szCs w:val="24"/>
              </w:rPr>
            </w:pPr>
            <w:r w:rsidRPr="00102618">
              <w:rPr>
                <w:rFonts w:ascii="Garamond" w:hAnsi="Garamond"/>
                <w:b/>
                <w:bCs/>
                <w:color w:val="FFFFFF"/>
                <w:sz w:val="24"/>
                <w:szCs w:val="24"/>
              </w:rPr>
              <w:t>Core Element?</w:t>
            </w:r>
          </w:p>
        </w:tc>
        <w:tc>
          <w:tcPr>
            <w:tcW w:w="214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56B4C4F7" w14:textId="77777777" w:rsidR="00E3316C" w:rsidRPr="00102618" w:rsidRDefault="00000000">
            <w:pPr>
              <w:rPr>
                <w:rFonts w:ascii="Garamond" w:hAnsi="Garamond"/>
                <w:sz w:val="24"/>
                <w:szCs w:val="24"/>
              </w:rPr>
            </w:pPr>
            <w:r w:rsidRPr="00102618">
              <w:rPr>
                <w:rFonts w:ascii="Garamond" w:hAnsi="Garamond"/>
                <w:b/>
                <w:bCs/>
                <w:color w:val="FFFFFF"/>
                <w:sz w:val="24"/>
                <w:szCs w:val="24"/>
              </w:rPr>
              <w:t>Peripheral Element?</w:t>
            </w:r>
          </w:p>
        </w:tc>
        <w:tc>
          <w:tcPr>
            <w:tcW w:w="27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6FF5159D" w14:textId="77777777" w:rsidR="00E3316C" w:rsidRPr="00102618" w:rsidRDefault="00000000">
            <w:pPr>
              <w:rPr>
                <w:rFonts w:ascii="Garamond" w:hAnsi="Garamond"/>
                <w:sz w:val="24"/>
                <w:szCs w:val="24"/>
              </w:rPr>
            </w:pPr>
            <w:r w:rsidRPr="00102618">
              <w:rPr>
                <w:rFonts w:ascii="Garamond" w:hAnsi="Garamond"/>
                <w:b/>
                <w:bCs/>
                <w:color w:val="FFFFFF"/>
                <w:sz w:val="24"/>
                <w:szCs w:val="24"/>
              </w:rPr>
              <w:t>Action / Clarification</w:t>
            </w:r>
          </w:p>
        </w:tc>
      </w:tr>
      <w:tr w:rsidR="00E3316C" w:rsidRPr="00102618" w14:paraId="2842F359" w14:textId="77777777">
        <w:tc>
          <w:tcPr>
            <w:tcW w:w="27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6400789A" w14:textId="77777777" w:rsidR="00E3316C" w:rsidRPr="00102618" w:rsidRDefault="00E3316C">
            <w:pPr>
              <w:rPr>
                <w:rFonts w:ascii="Garamond" w:hAnsi="Garamond"/>
                <w:sz w:val="24"/>
                <w:szCs w:val="24"/>
              </w:rPr>
            </w:pPr>
          </w:p>
        </w:tc>
        <w:tc>
          <w:tcPr>
            <w:tcW w:w="21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011F8E68" w14:textId="77777777" w:rsidR="00E3316C" w:rsidRPr="00102618" w:rsidRDefault="00000000">
            <w:pPr>
              <w:rPr>
                <w:rFonts w:ascii="Garamond" w:hAnsi="Garamond"/>
                <w:sz w:val="24"/>
                <w:szCs w:val="24"/>
              </w:rPr>
            </w:pPr>
            <w:r w:rsidRPr="00102618">
              <w:rPr>
                <w:rFonts w:ascii="Segoe UI Symbol" w:hAnsi="Segoe UI Symbol" w:cs="Segoe UI Symbol"/>
                <w:sz w:val="24"/>
                <w:szCs w:val="24"/>
              </w:rPr>
              <w:t>☐</w:t>
            </w:r>
          </w:p>
        </w:tc>
        <w:tc>
          <w:tcPr>
            <w:tcW w:w="21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32A6D2D2" w14:textId="77777777" w:rsidR="00E3316C" w:rsidRPr="00102618" w:rsidRDefault="00000000">
            <w:pPr>
              <w:rPr>
                <w:rFonts w:ascii="Garamond" w:hAnsi="Garamond"/>
                <w:sz w:val="24"/>
                <w:szCs w:val="24"/>
              </w:rPr>
            </w:pPr>
            <w:r w:rsidRPr="00102618">
              <w:rPr>
                <w:rFonts w:ascii="Segoe UI Symbol" w:hAnsi="Segoe UI Symbol" w:cs="Segoe UI Symbol"/>
                <w:sz w:val="24"/>
                <w:szCs w:val="24"/>
              </w:rPr>
              <w:t>☐</w:t>
            </w:r>
          </w:p>
        </w:tc>
        <w:tc>
          <w:tcPr>
            <w:tcW w:w="27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44F28E1E" w14:textId="77777777" w:rsidR="00E3316C" w:rsidRPr="00102618" w:rsidRDefault="00E3316C">
            <w:pPr>
              <w:rPr>
                <w:rFonts w:ascii="Garamond" w:hAnsi="Garamond"/>
                <w:sz w:val="24"/>
                <w:szCs w:val="24"/>
              </w:rPr>
            </w:pPr>
          </w:p>
        </w:tc>
      </w:tr>
      <w:tr w:rsidR="00E3316C" w:rsidRPr="00102618" w14:paraId="73FD4468" w14:textId="77777777">
        <w:tc>
          <w:tcPr>
            <w:tcW w:w="27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2B7E626B" w14:textId="77777777" w:rsidR="00E3316C" w:rsidRPr="00102618" w:rsidRDefault="00E3316C">
            <w:pPr>
              <w:rPr>
                <w:rFonts w:ascii="Garamond" w:hAnsi="Garamond"/>
                <w:sz w:val="24"/>
                <w:szCs w:val="24"/>
              </w:rPr>
            </w:pPr>
          </w:p>
        </w:tc>
        <w:tc>
          <w:tcPr>
            <w:tcW w:w="21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2A92687B" w14:textId="77777777" w:rsidR="00E3316C" w:rsidRPr="00102618" w:rsidRDefault="00000000">
            <w:pPr>
              <w:rPr>
                <w:rFonts w:ascii="Garamond" w:hAnsi="Garamond"/>
                <w:sz w:val="24"/>
                <w:szCs w:val="24"/>
              </w:rPr>
            </w:pPr>
            <w:r w:rsidRPr="00102618">
              <w:rPr>
                <w:rFonts w:ascii="Segoe UI Symbol" w:hAnsi="Segoe UI Symbol" w:cs="Segoe UI Symbol"/>
                <w:sz w:val="24"/>
                <w:szCs w:val="24"/>
              </w:rPr>
              <w:t>☐</w:t>
            </w:r>
          </w:p>
        </w:tc>
        <w:tc>
          <w:tcPr>
            <w:tcW w:w="21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4DBF06B5" w14:textId="77777777" w:rsidR="00E3316C" w:rsidRPr="00102618" w:rsidRDefault="00000000">
            <w:pPr>
              <w:rPr>
                <w:rFonts w:ascii="Garamond" w:hAnsi="Garamond"/>
                <w:sz w:val="24"/>
                <w:szCs w:val="24"/>
              </w:rPr>
            </w:pPr>
            <w:r w:rsidRPr="00102618">
              <w:rPr>
                <w:rFonts w:ascii="Segoe UI Symbol" w:hAnsi="Segoe UI Symbol" w:cs="Segoe UI Symbol"/>
                <w:sz w:val="24"/>
                <w:szCs w:val="24"/>
              </w:rPr>
              <w:t>☐</w:t>
            </w:r>
          </w:p>
        </w:tc>
        <w:tc>
          <w:tcPr>
            <w:tcW w:w="270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3471274B" w14:textId="77777777" w:rsidR="00E3316C" w:rsidRPr="00102618" w:rsidRDefault="00E3316C">
            <w:pPr>
              <w:rPr>
                <w:rFonts w:ascii="Garamond" w:hAnsi="Garamond"/>
                <w:sz w:val="24"/>
                <w:szCs w:val="24"/>
              </w:rPr>
            </w:pPr>
          </w:p>
        </w:tc>
      </w:tr>
      <w:tr w:rsidR="00E3316C" w:rsidRPr="00102618" w14:paraId="03FCB5AE" w14:textId="77777777">
        <w:tc>
          <w:tcPr>
            <w:tcW w:w="27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63633A7" w14:textId="77777777" w:rsidR="00E3316C" w:rsidRPr="00102618" w:rsidRDefault="00E3316C">
            <w:pPr>
              <w:rPr>
                <w:rFonts w:ascii="Garamond" w:hAnsi="Garamond"/>
                <w:sz w:val="24"/>
                <w:szCs w:val="24"/>
              </w:rPr>
            </w:pPr>
          </w:p>
        </w:tc>
        <w:tc>
          <w:tcPr>
            <w:tcW w:w="21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786880D4" w14:textId="77777777" w:rsidR="00E3316C" w:rsidRPr="00102618" w:rsidRDefault="00000000">
            <w:pPr>
              <w:rPr>
                <w:rFonts w:ascii="Garamond" w:hAnsi="Garamond"/>
                <w:sz w:val="24"/>
                <w:szCs w:val="24"/>
              </w:rPr>
            </w:pPr>
            <w:r w:rsidRPr="00102618">
              <w:rPr>
                <w:rFonts w:ascii="Segoe UI Symbol" w:hAnsi="Segoe UI Symbol" w:cs="Segoe UI Symbol"/>
                <w:sz w:val="24"/>
                <w:szCs w:val="24"/>
              </w:rPr>
              <w:t>☐</w:t>
            </w:r>
          </w:p>
        </w:tc>
        <w:tc>
          <w:tcPr>
            <w:tcW w:w="21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C234C2F" w14:textId="77777777" w:rsidR="00E3316C" w:rsidRPr="00102618" w:rsidRDefault="00000000">
            <w:pPr>
              <w:rPr>
                <w:rFonts w:ascii="Garamond" w:hAnsi="Garamond"/>
                <w:sz w:val="24"/>
                <w:szCs w:val="24"/>
              </w:rPr>
            </w:pPr>
            <w:r w:rsidRPr="00102618">
              <w:rPr>
                <w:rFonts w:ascii="Segoe UI Symbol" w:hAnsi="Segoe UI Symbol" w:cs="Segoe UI Symbol"/>
                <w:sz w:val="24"/>
                <w:szCs w:val="24"/>
              </w:rPr>
              <w:t>☐</w:t>
            </w:r>
          </w:p>
        </w:tc>
        <w:tc>
          <w:tcPr>
            <w:tcW w:w="27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12E9AFD" w14:textId="77777777" w:rsidR="00E3316C" w:rsidRPr="00102618" w:rsidRDefault="00E3316C">
            <w:pPr>
              <w:rPr>
                <w:rFonts w:ascii="Garamond" w:hAnsi="Garamond"/>
                <w:sz w:val="24"/>
                <w:szCs w:val="24"/>
              </w:rPr>
            </w:pPr>
          </w:p>
        </w:tc>
      </w:tr>
      <w:tr w:rsidR="00E3316C" w:rsidRPr="00102618" w14:paraId="23E5D4B9" w14:textId="77777777">
        <w:tc>
          <w:tcPr>
            <w:tcW w:w="27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10D2788E" w14:textId="77777777" w:rsidR="00E3316C" w:rsidRPr="00102618" w:rsidRDefault="00E3316C">
            <w:pPr>
              <w:rPr>
                <w:rFonts w:ascii="Garamond" w:hAnsi="Garamond"/>
                <w:sz w:val="24"/>
                <w:szCs w:val="24"/>
              </w:rPr>
            </w:pPr>
          </w:p>
        </w:tc>
        <w:tc>
          <w:tcPr>
            <w:tcW w:w="21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756796BB" w14:textId="77777777" w:rsidR="00E3316C" w:rsidRPr="00102618" w:rsidRDefault="00000000">
            <w:pPr>
              <w:rPr>
                <w:rFonts w:ascii="Garamond" w:hAnsi="Garamond"/>
                <w:sz w:val="24"/>
                <w:szCs w:val="24"/>
              </w:rPr>
            </w:pPr>
            <w:r w:rsidRPr="00102618">
              <w:rPr>
                <w:rFonts w:ascii="Segoe UI Symbol" w:hAnsi="Segoe UI Symbol" w:cs="Segoe UI Symbol"/>
                <w:sz w:val="24"/>
                <w:szCs w:val="24"/>
              </w:rPr>
              <w:t>☐</w:t>
            </w:r>
          </w:p>
        </w:tc>
        <w:tc>
          <w:tcPr>
            <w:tcW w:w="21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220E7826" w14:textId="77777777" w:rsidR="00E3316C" w:rsidRPr="00102618" w:rsidRDefault="00000000">
            <w:pPr>
              <w:rPr>
                <w:rFonts w:ascii="Garamond" w:hAnsi="Garamond"/>
                <w:sz w:val="24"/>
                <w:szCs w:val="24"/>
              </w:rPr>
            </w:pPr>
            <w:r w:rsidRPr="00102618">
              <w:rPr>
                <w:rFonts w:ascii="Segoe UI Symbol" w:hAnsi="Segoe UI Symbol" w:cs="Segoe UI Symbol"/>
                <w:sz w:val="24"/>
                <w:szCs w:val="24"/>
              </w:rPr>
              <w:t>☐</w:t>
            </w:r>
          </w:p>
        </w:tc>
        <w:tc>
          <w:tcPr>
            <w:tcW w:w="270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20241928" w14:textId="77777777" w:rsidR="00E3316C" w:rsidRPr="00102618" w:rsidRDefault="00E3316C">
            <w:pPr>
              <w:rPr>
                <w:rFonts w:ascii="Garamond" w:hAnsi="Garamond"/>
                <w:sz w:val="24"/>
                <w:szCs w:val="24"/>
              </w:rPr>
            </w:pPr>
          </w:p>
        </w:tc>
      </w:tr>
    </w:tbl>
    <w:p w14:paraId="601046B7" w14:textId="77777777" w:rsidR="00E3316C" w:rsidRPr="00E40C5D" w:rsidRDefault="00000000">
      <w:pPr>
        <w:pStyle w:val="Heading3"/>
        <w:rPr>
          <w:rFonts w:ascii="Garamond" w:hAnsi="Garamond"/>
          <w:color w:val="000000" w:themeColor="text1"/>
          <w:sz w:val="24"/>
          <w:szCs w:val="24"/>
        </w:rPr>
      </w:pPr>
      <w:r w:rsidRPr="00E40C5D">
        <w:rPr>
          <w:rFonts w:ascii="Garamond" w:hAnsi="Garamond"/>
          <w:color w:val="000000" w:themeColor="text1"/>
          <w:sz w:val="24"/>
          <w:szCs w:val="24"/>
        </w:rPr>
        <w:t>11E.  Declaration Drafting Tips</w:t>
      </w:r>
    </w:p>
    <w:p w14:paraId="6B75C314"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Do</w:t>
      </w:r>
      <w:proofErr w:type="gramEnd"/>
      <w:r w:rsidRPr="00E40C5D">
        <w:rPr>
          <w:rFonts w:ascii="Garamond" w:hAnsi="Garamond"/>
          <w:color w:val="000000" w:themeColor="text1"/>
          <w:sz w:val="24"/>
          <w:szCs w:val="24"/>
        </w:rPr>
        <w:t xml:space="preserve"> not guess exact dates. If calendar dates are uncertain, use approximate anchors and say so plainly.</w:t>
      </w:r>
    </w:p>
    <w:p w14:paraId="1FC9C5FC"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Give</w:t>
      </w:r>
      <w:proofErr w:type="gramEnd"/>
      <w:r w:rsidRPr="00E40C5D">
        <w:rPr>
          <w:rFonts w:ascii="Garamond" w:hAnsi="Garamond"/>
          <w:color w:val="000000" w:themeColor="text1"/>
          <w:sz w:val="24"/>
          <w:szCs w:val="24"/>
        </w:rPr>
        <w:t xml:space="preserve"> enough detail to understand the event, but do not force maximal detail that the client cannot reliably maintain.</w:t>
      </w:r>
    </w:p>
    <w:p w14:paraId="1ABD27CB"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Make</w:t>
      </w:r>
      <w:proofErr w:type="gramEnd"/>
      <w:r w:rsidRPr="00E40C5D">
        <w:rPr>
          <w:rFonts w:ascii="Garamond" w:hAnsi="Garamond"/>
          <w:color w:val="000000" w:themeColor="text1"/>
          <w:sz w:val="24"/>
          <w:szCs w:val="24"/>
        </w:rPr>
        <w:t xml:space="preserve"> nexus visible. The declaration should help a reader see why the client was targeted, not merely what happened.</w:t>
      </w:r>
    </w:p>
    <w:p w14:paraId="65AC6904"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Explain</w:t>
      </w:r>
      <w:proofErr w:type="gramEnd"/>
      <w:r w:rsidRPr="00E40C5D">
        <w:rPr>
          <w:rFonts w:ascii="Garamond" w:hAnsi="Garamond"/>
          <w:color w:val="000000" w:themeColor="text1"/>
          <w:sz w:val="24"/>
          <w:szCs w:val="24"/>
        </w:rPr>
        <w:t xml:space="preserve"> reporting or non-reporting, relocation efforts or barriers, and what changed after the event.</w:t>
      </w:r>
    </w:p>
    <w:p w14:paraId="2245A93A"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When</w:t>
      </w:r>
      <w:proofErr w:type="gramEnd"/>
      <w:r w:rsidRPr="00E40C5D">
        <w:rPr>
          <w:rFonts w:ascii="Garamond" w:hAnsi="Garamond"/>
          <w:color w:val="000000" w:themeColor="text1"/>
          <w:sz w:val="24"/>
          <w:szCs w:val="24"/>
        </w:rPr>
        <w:t xml:space="preserve"> useful, include the first significant incident, the most serious incident, the last incident before leaving, and the present fear if returned.</w:t>
      </w:r>
    </w:p>
    <w:p w14:paraId="6579E9B0"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Preserve</w:t>
      </w:r>
      <w:proofErr w:type="gramEnd"/>
      <w:r w:rsidRPr="00E40C5D">
        <w:rPr>
          <w:rFonts w:ascii="Garamond" w:hAnsi="Garamond"/>
          <w:color w:val="000000" w:themeColor="text1"/>
          <w:sz w:val="24"/>
          <w:szCs w:val="24"/>
        </w:rPr>
        <w:t xml:space="preserve"> the client's voice. Use neutral clarifications for delay or chronology difficulty, but do not overwrite the narrative with clinical jargon.</w:t>
      </w:r>
    </w:p>
    <w:p w14:paraId="1106FA0E"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Use</w:t>
      </w:r>
      <w:proofErr w:type="gramEnd"/>
      <w:r w:rsidRPr="00E40C5D">
        <w:rPr>
          <w:rFonts w:ascii="Garamond" w:hAnsi="Garamond"/>
          <w:color w:val="000000" w:themeColor="text1"/>
          <w:sz w:val="24"/>
          <w:szCs w:val="24"/>
        </w:rPr>
        <w:t xml:space="preserve"> the annotated sample architecture and blank template in Appendices B and C as drafting aids, not as scripts to copy verbatim.</w:t>
      </w:r>
    </w:p>
    <w:p w14:paraId="53B39AE4" w14:textId="77777777" w:rsidR="00E3316C" w:rsidRPr="00E40C5D" w:rsidRDefault="00E3316C">
      <w:pPr>
        <w:spacing w:before="60" w:after="60"/>
        <w:rPr>
          <w:rFonts w:ascii="Garamond" w:hAnsi="Garamond"/>
          <w:color w:val="000000" w:themeColor="text1"/>
          <w:sz w:val="24"/>
          <w:szCs w:val="24"/>
        </w:rPr>
      </w:pPr>
    </w:p>
    <w:p w14:paraId="2C49F253" w14:textId="77777777" w:rsidR="00E3316C" w:rsidRPr="00E40C5D" w:rsidRDefault="00000000">
      <w:pPr>
        <w:pStyle w:val="Heading3"/>
        <w:rPr>
          <w:rFonts w:ascii="Garamond" w:hAnsi="Garamond"/>
          <w:color w:val="000000" w:themeColor="text1"/>
          <w:sz w:val="24"/>
          <w:szCs w:val="24"/>
        </w:rPr>
      </w:pPr>
      <w:r w:rsidRPr="00E40C5D">
        <w:rPr>
          <w:rFonts w:ascii="Garamond" w:hAnsi="Garamond"/>
          <w:color w:val="000000" w:themeColor="text1"/>
          <w:sz w:val="24"/>
          <w:szCs w:val="24"/>
        </w:rPr>
        <w:t>11F.  Actor Clarity, Over-Explanation, and Adverse-Facts Review</w:t>
      </w:r>
    </w:p>
    <w:p w14:paraId="2BE2174C"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Have</w:t>
      </w:r>
      <w:proofErr w:type="gramEnd"/>
      <w:r w:rsidRPr="00E40C5D">
        <w:rPr>
          <w:rFonts w:ascii="Garamond" w:hAnsi="Garamond"/>
          <w:color w:val="000000" w:themeColor="text1"/>
          <w:sz w:val="24"/>
          <w:szCs w:val="24"/>
        </w:rPr>
        <w:t xml:space="preserve"> I named the main actor clearly each time rather than relying on vague pronouns like "they"?</w:t>
      </w:r>
    </w:p>
    <w:p w14:paraId="1BA47A7B"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Would</w:t>
      </w:r>
      <w:proofErr w:type="gramEnd"/>
      <w:r w:rsidRPr="00E40C5D">
        <w:rPr>
          <w:rFonts w:ascii="Garamond" w:hAnsi="Garamond"/>
          <w:color w:val="000000" w:themeColor="text1"/>
          <w:sz w:val="24"/>
          <w:szCs w:val="24"/>
        </w:rPr>
        <w:t xml:space="preserve"> a reader outside the client's country context understand why the event, actor, or symbol mattered, or have I assumed that "everybody knows"?</w:t>
      </w:r>
    </w:p>
    <w:p w14:paraId="0FFB792F"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Does</w:t>
      </w:r>
      <w:proofErr w:type="gramEnd"/>
      <w:r w:rsidRPr="00E40C5D">
        <w:rPr>
          <w:rFonts w:ascii="Garamond" w:hAnsi="Garamond"/>
          <w:color w:val="000000" w:themeColor="text1"/>
          <w:sz w:val="24"/>
          <w:szCs w:val="24"/>
        </w:rPr>
        <w:t xml:space="preserve"> any paragraph read like a political science paper or country report instead of the client's own narrative?</w:t>
      </w:r>
    </w:p>
    <w:p w14:paraId="3D64B1E7"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Have</w:t>
      </w:r>
      <w:proofErr w:type="gramEnd"/>
      <w:r w:rsidRPr="00E40C5D">
        <w:rPr>
          <w:rFonts w:ascii="Garamond" w:hAnsi="Garamond"/>
          <w:color w:val="000000" w:themeColor="text1"/>
          <w:sz w:val="24"/>
          <w:szCs w:val="24"/>
        </w:rPr>
        <w:t xml:space="preserve"> I captured the persecutor's own words where those words strengthen nexus, subjective fear, or objective fear?</w:t>
      </w:r>
    </w:p>
    <w:p w14:paraId="5B09BCBD"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Are</w:t>
      </w:r>
      <w:proofErr w:type="gramEnd"/>
      <w:r w:rsidRPr="00E40C5D">
        <w:rPr>
          <w:rFonts w:ascii="Garamond" w:hAnsi="Garamond"/>
          <w:color w:val="000000" w:themeColor="text1"/>
          <w:sz w:val="24"/>
          <w:szCs w:val="24"/>
        </w:rPr>
        <w:t xml:space="preserve"> there bars to asylum, ineligibility issues, or adverse facts that require a legal strategy rather than silence?</w:t>
      </w:r>
    </w:p>
    <w:p w14:paraId="1F9A85FD"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If</w:t>
      </w:r>
      <w:proofErr w:type="gramEnd"/>
      <w:r w:rsidRPr="00E40C5D">
        <w:rPr>
          <w:rFonts w:ascii="Garamond" w:hAnsi="Garamond"/>
          <w:color w:val="000000" w:themeColor="text1"/>
          <w:sz w:val="24"/>
          <w:szCs w:val="24"/>
        </w:rPr>
        <w:t xml:space="preserve"> new documents surfaced late, have I explained whether the tension is about chronology, translation, omitted context, or a materially different fact?</w:t>
      </w:r>
    </w:p>
    <w:p w14:paraId="061300E6" w14:textId="77777777" w:rsidR="00E3316C" w:rsidRPr="00E40C5D" w:rsidRDefault="00000000">
      <w:pPr>
        <w:rPr>
          <w:rFonts w:ascii="Garamond" w:hAnsi="Garamond"/>
          <w:color w:val="000000" w:themeColor="text1"/>
          <w:sz w:val="24"/>
          <w:szCs w:val="24"/>
        </w:rPr>
      </w:pPr>
      <w:r w:rsidRPr="00E40C5D">
        <w:rPr>
          <w:rFonts w:ascii="Garamond" w:hAnsi="Garamond"/>
          <w:color w:val="000000" w:themeColor="text1"/>
          <w:sz w:val="24"/>
          <w:szCs w:val="24"/>
        </w:rPr>
        <w:br w:type="page"/>
      </w:r>
    </w:p>
    <w:p w14:paraId="22161DB2" w14:textId="77777777" w:rsidR="00E3316C" w:rsidRPr="00102618" w:rsidRDefault="00000000">
      <w:pPr>
        <w:pStyle w:val="Heading1"/>
        <w:shd w:val="clear" w:color="auto" w:fill="1F3864"/>
        <w:ind w:left="140"/>
        <w:rPr>
          <w:rFonts w:ascii="Garamond" w:hAnsi="Garamond"/>
          <w:sz w:val="24"/>
          <w:szCs w:val="24"/>
        </w:rPr>
      </w:pPr>
      <w:r w:rsidRPr="00102618">
        <w:rPr>
          <w:rFonts w:ascii="Garamond" w:hAnsi="Garamond"/>
          <w:sz w:val="24"/>
          <w:szCs w:val="24"/>
        </w:rPr>
        <w:lastRenderedPageBreak/>
        <w:t>PART III: DOCUMENTATION AND EVIDENCE</w:t>
      </w:r>
    </w:p>
    <w:p w14:paraId="457DFA99" w14:textId="77777777" w:rsidR="00E3316C" w:rsidRPr="00E40C5D" w:rsidRDefault="00000000">
      <w:pPr>
        <w:pStyle w:val="Heading2"/>
        <w:pBdr>
          <w:bottom w:val="single" w:sz="6" w:space="1" w:color="2E75B6"/>
        </w:pBdr>
        <w:rPr>
          <w:rFonts w:ascii="Garamond" w:hAnsi="Garamond"/>
          <w:color w:val="000000" w:themeColor="text1"/>
          <w:sz w:val="24"/>
          <w:szCs w:val="24"/>
        </w:rPr>
      </w:pPr>
      <w:r w:rsidRPr="00E40C5D">
        <w:rPr>
          <w:rFonts w:ascii="Garamond" w:hAnsi="Garamond"/>
          <w:color w:val="000000" w:themeColor="text1"/>
          <w:sz w:val="24"/>
          <w:szCs w:val="24"/>
        </w:rPr>
        <w:t>Section 12. Evidence and Exhibit Organizer</w:t>
      </w:r>
    </w:p>
    <w:p w14:paraId="0D039D9F" w14:textId="77777777" w:rsidR="00E3316C" w:rsidRPr="00E40C5D" w:rsidRDefault="00000000">
      <w:pPr>
        <w:spacing w:after="120"/>
        <w:rPr>
          <w:rFonts w:ascii="Garamond" w:hAnsi="Garamond"/>
          <w:color w:val="000000" w:themeColor="text1"/>
          <w:sz w:val="24"/>
          <w:szCs w:val="24"/>
        </w:rPr>
      </w:pPr>
      <w:r w:rsidRPr="00E40C5D">
        <w:rPr>
          <w:rFonts w:ascii="Garamond" w:hAnsi="Garamond"/>
          <w:color w:val="000000" w:themeColor="text1"/>
          <w:sz w:val="24"/>
          <w:szCs w:val="24"/>
        </w:rPr>
        <w:t>Evidence planning is most effective when treated as an integral part of narrative development rather than a task completed at the end of the case. This organizer makes evidence gathering visible from early in the workflow and links each document directly to what it proves, whether it requires translation, and where it fits within the overall case theory. It also provides structured guidance on when psychosocial, medical, or expert corroboration may be necessary—particularly when trauma-related barriers, developmental factors, or language-mediated distortion need careful explanation that lay testimony alone cannot fully carry (Saadi et al., 2021; European Union Agency for Asylum, 2024). The toolkit makes evidence gathering visible as a core workflow component rather than an afterthought (American Bar Association Commission on Immigration &amp; HIAS, 2022).</w:t>
      </w:r>
    </w:p>
    <w:p w14:paraId="5EC28EAA" w14:textId="77777777" w:rsidR="00E3316C" w:rsidRPr="00E40C5D" w:rsidRDefault="00E3316C">
      <w:pPr>
        <w:spacing w:before="60" w:after="60"/>
        <w:rPr>
          <w:rFonts w:ascii="Garamond" w:hAnsi="Garamond"/>
          <w:color w:val="000000" w:themeColor="text1"/>
          <w:sz w:val="24"/>
          <w:szCs w:val="24"/>
        </w:rPr>
      </w:pPr>
    </w:p>
    <w:p w14:paraId="68E7E88C" w14:textId="77777777" w:rsidR="00E3316C" w:rsidRPr="00E40C5D" w:rsidRDefault="00000000">
      <w:pPr>
        <w:pStyle w:val="Heading3"/>
        <w:rPr>
          <w:rFonts w:ascii="Garamond" w:hAnsi="Garamond"/>
          <w:color w:val="000000" w:themeColor="text1"/>
          <w:sz w:val="24"/>
          <w:szCs w:val="24"/>
        </w:rPr>
      </w:pPr>
      <w:r w:rsidRPr="00E40C5D">
        <w:rPr>
          <w:rFonts w:ascii="Garamond" w:hAnsi="Garamond"/>
          <w:color w:val="000000" w:themeColor="text1"/>
          <w:sz w:val="24"/>
          <w:szCs w:val="24"/>
        </w:rPr>
        <w:t>12A.  Corroboration Planning Prompts</w:t>
      </w:r>
    </w:p>
    <w:p w14:paraId="23D12611"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What</w:t>
      </w:r>
      <w:proofErr w:type="gramEnd"/>
      <w:r w:rsidRPr="00E40C5D">
        <w:rPr>
          <w:rFonts w:ascii="Garamond" w:hAnsi="Garamond"/>
          <w:color w:val="000000" w:themeColor="text1"/>
          <w:sz w:val="24"/>
          <w:szCs w:val="24"/>
        </w:rPr>
        <w:t xml:space="preserve"> can corroborate identity and family relationships?</w:t>
      </w:r>
    </w:p>
    <w:p w14:paraId="29AE2089"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What</w:t>
      </w:r>
      <w:proofErr w:type="gramEnd"/>
      <w:r w:rsidRPr="00E40C5D">
        <w:rPr>
          <w:rFonts w:ascii="Garamond" w:hAnsi="Garamond"/>
          <w:color w:val="000000" w:themeColor="text1"/>
          <w:sz w:val="24"/>
          <w:szCs w:val="24"/>
        </w:rPr>
        <w:t xml:space="preserve"> can corroborate political, religious, social-group, or community involvement?</w:t>
      </w:r>
    </w:p>
    <w:p w14:paraId="1822F0C1"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What</w:t>
      </w:r>
      <w:proofErr w:type="gramEnd"/>
      <w:r w:rsidRPr="00E40C5D">
        <w:rPr>
          <w:rFonts w:ascii="Garamond" w:hAnsi="Garamond"/>
          <w:color w:val="000000" w:themeColor="text1"/>
          <w:sz w:val="24"/>
          <w:szCs w:val="24"/>
        </w:rPr>
        <w:t xml:space="preserve"> can corroborate reporting, non-reporting, medical harm, relocation attempts, or post-flight threats?</w:t>
      </w:r>
    </w:p>
    <w:p w14:paraId="0F7ACC72"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What</w:t>
      </w:r>
      <w:proofErr w:type="gramEnd"/>
      <w:r w:rsidRPr="00E40C5D">
        <w:rPr>
          <w:rFonts w:ascii="Garamond" w:hAnsi="Garamond"/>
          <w:color w:val="000000" w:themeColor="text1"/>
          <w:sz w:val="24"/>
          <w:szCs w:val="24"/>
        </w:rPr>
        <w:t xml:space="preserve"> country conditions or objective materials illuminate the context the client is describing?</w:t>
      </w:r>
    </w:p>
    <w:p w14:paraId="7501EAF5"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What</w:t>
      </w:r>
      <w:proofErr w:type="gramEnd"/>
      <w:r w:rsidRPr="00E40C5D">
        <w:rPr>
          <w:rFonts w:ascii="Garamond" w:hAnsi="Garamond"/>
          <w:color w:val="000000" w:themeColor="text1"/>
          <w:sz w:val="24"/>
          <w:szCs w:val="24"/>
        </w:rPr>
        <w:t xml:space="preserve"> is realistically obtainable, what needs translation, and what is unlikely to be obtainable without creating risk?</w:t>
      </w:r>
    </w:p>
    <w:p w14:paraId="659FA606" w14:textId="77777777" w:rsidR="00E3316C" w:rsidRPr="00E40C5D" w:rsidRDefault="00E3316C">
      <w:pPr>
        <w:spacing w:before="60" w:after="60"/>
        <w:rPr>
          <w:rFonts w:ascii="Garamond" w:hAnsi="Garamond"/>
          <w:color w:val="000000" w:themeColor="text1"/>
          <w:sz w:val="24"/>
          <w:szCs w:val="24"/>
        </w:rPr>
      </w:pPr>
    </w:p>
    <w:p w14:paraId="38B1191C" w14:textId="77777777" w:rsidR="00E3316C" w:rsidRPr="00E40C5D" w:rsidRDefault="00000000">
      <w:pPr>
        <w:pStyle w:val="Heading3"/>
        <w:rPr>
          <w:rFonts w:ascii="Garamond" w:hAnsi="Garamond"/>
          <w:color w:val="000000" w:themeColor="text1"/>
          <w:sz w:val="24"/>
          <w:szCs w:val="24"/>
        </w:rPr>
      </w:pPr>
      <w:r w:rsidRPr="00E40C5D">
        <w:rPr>
          <w:rFonts w:ascii="Garamond" w:hAnsi="Garamond"/>
          <w:color w:val="000000" w:themeColor="text1"/>
          <w:sz w:val="24"/>
          <w:szCs w:val="24"/>
        </w:rPr>
        <w:t>12B.  When Psychosocial, Medical, or Expert Corroboration May Help</w:t>
      </w:r>
    </w:p>
    <w:p w14:paraId="7D1D1458" w14:textId="77777777" w:rsidR="00E3316C" w:rsidRPr="00E40C5D" w:rsidRDefault="00000000">
      <w:pPr>
        <w:spacing w:after="120"/>
        <w:rPr>
          <w:rFonts w:ascii="Garamond" w:hAnsi="Garamond"/>
          <w:color w:val="000000" w:themeColor="text1"/>
          <w:sz w:val="24"/>
          <w:szCs w:val="24"/>
        </w:rPr>
      </w:pPr>
      <w:r w:rsidRPr="00E40C5D">
        <w:rPr>
          <w:rFonts w:ascii="Garamond" w:hAnsi="Garamond"/>
          <w:color w:val="000000" w:themeColor="text1"/>
          <w:sz w:val="24"/>
          <w:szCs w:val="24"/>
        </w:rPr>
        <w:t xml:space="preserve">A mental health, psychosocial, or medical evaluation may help when memory loss, chronology difficulty, functional impairment, or trauma-related barriers to disclosure need careful explanation. Expert or psychosocial input may be especially useful when sexual violence, shame, dissociation, childhood trauma, traumatic separation, developmental delay, or severe post-arrival instability affect how the story can be told. Such corroboration should clarify function, barriers, or risk—it should not replace the client's own narrative or be used as a substitute for legal theory. When considering expert support, ask: What question needs explaining? What part of the record is at risk of being misread? What kind of evaluator or specialist is </w:t>
      </w:r>
      <w:proofErr w:type="gramStart"/>
      <w:r w:rsidRPr="00E40C5D">
        <w:rPr>
          <w:rFonts w:ascii="Garamond" w:hAnsi="Garamond"/>
          <w:color w:val="000000" w:themeColor="text1"/>
          <w:sz w:val="24"/>
          <w:szCs w:val="24"/>
        </w:rPr>
        <w:t>actually necessary</w:t>
      </w:r>
      <w:proofErr w:type="gramEnd"/>
      <w:r w:rsidRPr="00E40C5D">
        <w:rPr>
          <w:rFonts w:ascii="Garamond" w:hAnsi="Garamond"/>
          <w:color w:val="000000" w:themeColor="text1"/>
          <w:sz w:val="24"/>
          <w:szCs w:val="24"/>
        </w:rPr>
        <w:t>?</w:t>
      </w:r>
    </w:p>
    <w:p w14:paraId="5FA2779E" w14:textId="77777777" w:rsidR="00E3316C" w:rsidRPr="00E40C5D" w:rsidRDefault="00E3316C">
      <w:pPr>
        <w:spacing w:before="60" w:after="60"/>
        <w:rPr>
          <w:rFonts w:ascii="Garamond" w:hAnsi="Garamond"/>
          <w:color w:val="000000" w:themeColor="text1"/>
          <w:sz w:val="24"/>
          <w:szCs w:val="24"/>
        </w:rPr>
      </w:pPr>
    </w:p>
    <w:p w14:paraId="01D61828" w14:textId="77777777" w:rsidR="00102618" w:rsidRPr="00E40C5D" w:rsidRDefault="00102618">
      <w:pPr>
        <w:spacing w:before="60" w:after="60"/>
        <w:rPr>
          <w:rFonts w:ascii="Garamond" w:hAnsi="Garamond"/>
          <w:color w:val="000000" w:themeColor="text1"/>
          <w:sz w:val="24"/>
          <w:szCs w:val="24"/>
        </w:rPr>
      </w:pPr>
    </w:p>
    <w:p w14:paraId="227604FC" w14:textId="77777777" w:rsidR="00102618" w:rsidRPr="00E40C5D" w:rsidRDefault="00102618">
      <w:pPr>
        <w:spacing w:before="60" w:after="60"/>
        <w:rPr>
          <w:rFonts w:ascii="Garamond" w:hAnsi="Garamond"/>
          <w:color w:val="000000" w:themeColor="text1"/>
          <w:sz w:val="24"/>
          <w:szCs w:val="24"/>
        </w:rPr>
      </w:pPr>
    </w:p>
    <w:p w14:paraId="2A58C0ED" w14:textId="77777777" w:rsidR="00102618" w:rsidRPr="00E40C5D" w:rsidRDefault="00102618">
      <w:pPr>
        <w:spacing w:before="60" w:after="60"/>
        <w:rPr>
          <w:rFonts w:ascii="Garamond" w:hAnsi="Garamond"/>
          <w:color w:val="000000" w:themeColor="text1"/>
          <w:sz w:val="24"/>
          <w:szCs w:val="24"/>
        </w:rPr>
      </w:pPr>
    </w:p>
    <w:p w14:paraId="2A5C2746" w14:textId="77777777" w:rsidR="00102618" w:rsidRPr="00E40C5D" w:rsidRDefault="00102618">
      <w:pPr>
        <w:spacing w:before="60" w:after="60"/>
        <w:rPr>
          <w:rFonts w:ascii="Garamond" w:hAnsi="Garamond"/>
          <w:color w:val="000000" w:themeColor="text1"/>
          <w:sz w:val="24"/>
          <w:szCs w:val="24"/>
        </w:rPr>
      </w:pPr>
    </w:p>
    <w:p w14:paraId="49E9ED8B" w14:textId="77777777" w:rsidR="00102618" w:rsidRPr="00E40C5D" w:rsidRDefault="00102618">
      <w:pPr>
        <w:spacing w:before="60" w:after="60"/>
        <w:rPr>
          <w:rFonts w:ascii="Garamond" w:hAnsi="Garamond"/>
          <w:color w:val="000000" w:themeColor="text1"/>
          <w:sz w:val="24"/>
          <w:szCs w:val="24"/>
        </w:rPr>
      </w:pPr>
    </w:p>
    <w:p w14:paraId="08EFFBD6" w14:textId="77777777" w:rsidR="00102618" w:rsidRPr="00E40C5D" w:rsidRDefault="00102618">
      <w:pPr>
        <w:spacing w:before="60" w:after="60"/>
        <w:rPr>
          <w:rFonts w:ascii="Garamond" w:hAnsi="Garamond"/>
          <w:color w:val="000000" w:themeColor="text1"/>
          <w:sz w:val="24"/>
          <w:szCs w:val="24"/>
        </w:rPr>
      </w:pPr>
    </w:p>
    <w:p w14:paraId="5CE37263" w14:textId="77777777" w:rsidR="00102618" w:rsidRPr="00E40C5D" w:rsidRDefault="00102618">
      <w:pPr>
        <w:spacing w:before="60" w:after="60"/>
        <w:rPr>
          <w:rFonts w:ascii="Garamond" w:hAnsi="Garamond"/>
          <w:color w:val="000000" w:themeColor="text1"/>
          <w:sz w:val="24"/>
          <w:szCs w:val="24"/>
        </w:rPr>
      </w:pPr>
    </w:p>
    <w:p w14:paraId="76D3C7C7" w14:textId="77777777" w:rsidR="00E3316C" w:rsidRPr="00E40C5D" w:rsidRDefault="00000000">
      <w:pPr>
        <w:pStyle w:val="Heading3"/>
        <w:rPr>
          <w:rFonts w:ascii="Garamond" w:hAnsi="Garamond"/>
          <w:color w:val="000000" w:themeColor="text1"/>
          <w:sz w:val="24"/>
          <w:szCs w:val="24"/>
        </w:rPr>
      </w:pPr>
      <w:r w:rsidRPr="00E40C5D">
        <w:rPr>
          <w:rFonts w:ascii="Garamond" w:hAnsi="Garamond"/>
          <w:color w:val="000000" w:themeColor="text1"/>
          <w:sz w:val="24"/>
          <w:szCs w:val="24"/>
        </w:rPr>
        <w:lastRenderedPageBreak/>
        <w:t>12C.  Exhibit Organizer</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83"/>
        <w:gridCol w:w="1638"/>
        <w:gridCol w:w="954"/>
        <w:gridCol w:w="1373"/>
        <w:gridCol w:w="1619"/>
        <w:gridCol w:w="1453"/>
      </w:tblGrid>
      <w:tr w:rsidR="00E3316C" w:rsidRPr="00102618" w14:paraId="0A6FD2E4" w14:textId="77777777">
        <w:trPr>
          <w:tblHeader/>
        </w:trPr>
        <w:tc>
          <w:tcPr>
            <w:tcW w:w="18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35A42643" w14:textId="77777777" w:rsidR="00E3316C" w:rsidRPr="00102618" w:rsidRDefault="00000000">
            <w:pPr>
              <w:rPr>
                <w:rFonts w:ascii="Garamond" w:hAnsi="Garamond"/>
                <w:sz w:val="24"/>
                <w:szCs w:val="24"/>
              </w:rPr>
            </w:pPr>
            <w:r w:rsidRPr="00102618">
              <w:rPr>
                <w:rFonts w:ascii="Garamond" w:hAnsi="Garamond"/>
                <w:b/>
                <w:bCs/>
                <w:color w:val="FFFFFF"/>
                <w:sz w:val="24"/>
                <w:szCs w:val="24"/>
              </w:rPr>
              <w:t>Exhibit / Document</w:t>
            </w:r>
          </w:p>
        </w:tc>
        <w:tc>
          <w:tcPr>
            <w:tcW w:w="18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755CB3AD" w14:textId="77777777" w:rsidR="00E3316C" w:rsidRPr="00102618" w:rsidRDefault="00000000">
            <w:pPr>
              <w:rPr>
                <w:rFonts w:ascii="Garamond" w:hAnsi="Garamond"/>
                <w:sz w:val="24"/>
                <w:szCs w:val="24"/>
              </w:rPr>
            </w:pPr>
            <w:r w:rsidRPr="00102618">
              <w:rPr>
                <w:rFonts w:ascii="Garamond" w:hAnsi="Garamond"/>
                <w:b/>
                <w:bCs/>
                <w:color w:val="FFFFFF"/>
                <w:sz w:val="24"/>
                <w:szCs w:val="24"/>
              </w:rPr>
              <w:t>What It Supports</w:t>
            </w:r>
          </w:p>
        </w:tc>
        <w:tc>
          <w:tcPr>
            <w:tcW w:w="10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0065DDCD" w14:textId="77777777" w:rsidR="00E3316C" w:rsidRPr="00102618" w:rsidRDefault="00000000">
            <w:pPr>
              <w:rPr>
                <w:rFonts w:ascii="Garamond" w:hAnsi="Garamond"/>
                <w:sz w:val="24"/>
                <w:szCs w:val="24"/>
              </w:rPr>
            </w:pPr>
            <w:r w:rsidRPr="00102618">
              <w:rPr>
                <w:rFonts w:ascii="Garamond" w:hAnsi="Garamond"/>
                <w:b/>
                <w:bCs/>
                <w:color w:val="FFFFFF"/>
                <w:sz w:val="24"/>
                <w:szCs w:val="24"/>
              </w:rPr>
              <w:t>Status</w:t>
            </w:r>
          </w:p>
        </w:tc>
        <w:tc>
          <w:tcPr>
            <w:tcW w:w="10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5EFAAECD" w14:textId="77777777" w:rsidR="00E3316C" w:rsidRPr="00102618" w:rsidRDefault="00000000">
            <w:pPr>
              <w:rPr>
                <w:rFonts w:ascii="Garamond" w:hAnsi="Garamond"/>
                <w:sz w:val="24"/>
                <w:szCs w:val="24"/>
              </w:rPr>
            </w:pPr>
            <w:r w:rsidRPr="00102618">
              <w:rPr>
                <w:rFonts w:ascii="Garamond" w:hAnsi="Garamond"/>
                <w:b/>
                <w:bCs/>
                <w:color w:val="FFFFFF"/>
                <w:sz w:val="24"/>
                <w:szCs w:val="24"/>
              </w:rPr>
              <w:t>Translation Needed?</w:t>
            </w:r>
          </w:p>
        </w:tc>
        <w:tc>
          <w:tcPr>
            <w:tcW w:w="186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5210EA8E" w14:textId="77777777" w:rsidR="00E3316C" w:rsidRPr="00102618" w:rsidRDefault="00000000">
            <w:pPr>
              <w:rPr>
                <w:rFonts w:ascii="Garamond" w:hAnsi="Garamond"/>
                <w:sz w:val="24"/>
                <w:szCs w:val="24"/>
              </w:rPr>
            </w:pPr>
            <w:r w:rsidRPr="00102618">
              <w:rPr>
                <w:rFonts w:ascii="Garamond" w:hAnsi="Garamond"/>
                <w:b/>
                <w:bCs/>
                <w:color w:val="FFFFFF"/>
                <w:sz w:val="24"/>
                <w:szCs w:val="24"/>
              </w:rPr>
              <w:t>Source / Who Will Obtain It</w:t>
            </w:r>
          </w:p>
        </w:tc>
        <w:tc>
          <w:tcPr>
            <w:tcW w:w="12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6E032A04" w14:textId="77777777" w:rsidR="00E3316C" w:rsidRPr="00102618" w:rsidRDefault="00000000">
            <w:pPr>
              <w:rPr>
                <w:rFonts w:ascii="Garamond" w:hAnsi="Garamond"/>
                <w:sz w:val="24"/>
                <w:szCs w:val="24"/>
              </w:rPr>
            </w:pPr>
            <w:r w:rsidRPr="00102618">
              <w:rPr>
                <w:rFonts w:ascii="Garamond" w:hAnsi="Garamond"/>
                <w:b/>
                <w:bCs/>
                <w:color w:val="FFFFFF"/>
                <w:sz w:val="24"/>
                <w:szCs w:val="24"/>
              </w:rPr>
              <w:t>Notes / Authenticity Concerns</w:t>
            </w:r>
          </w:p>
        </w:tc>
      </w:tr>
      <w:tr w:rsidR="00E3316C" w:rsidRPr="00102618" w14:paraId="27BC0230" w14:textId="77777777">
        <w:tc>
          <w:tcPr>
            <w:tcW w:w="18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7EFA3CD5" w14:textId="77777777" w:rsidR="00E3316C" w:rsidRPr="00102618" w:rsidRDefault="00E3316C">
            <w:pPr>
              <w:rPr>
                <w:rFonts w:ascii="Garamond" w:hAnsi="Garamond"/>
                <w:sz w:val="24"/>
                <w:szCs w:val="24"/>
              </w:rPr>
            </w:pPr>
          </w:p>
        </w:tc>
        <w:tc>
          <w:tcPr>
            <w:tcW w:w="18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60FCA692" w14:textId="77777777" w:rsidR="00E3316C" w:rsidRPr="00102618" w:rsidRDefault="00E3316C">
            <w:pPr>
              <w:rPr>
                <w:rFonts w:ascii="Garamond" w:hAnsi="Garamond"/>
                <w:sz w:val="24"/>
                <w:szCs w:val="24"/>
              </w:rPr>
            </w:pPr>
          </w:p>
        </w:tc>
        <w:tc>
          <w:tcPr>
            <w:tcW w:w="1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78F1E28" w14:textId="77777777" w:rsidR="00E3316C" w:rsidRPr="00102618" w:rsidRDefault="00E3316C">
            <w:pPr>
              <w:rPr>
                <w:rFonts w:ascii="Garamond" w:hAnsi="Garamond"/>
                <w:sz w:val="24"/>
                <w:szCs w:val="24"/>
              </w:rPr>
            </w:pPr>
          </w:p>
        </w:tc>
        <w:tc>
          <w:tcPr>
            <w:tcW w:w="1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884CCAF" w14:textId="77777777" w:rsidR="00E3316C" w:rsidRPr="00102618" w:rsidRDefault="00E3316C">
            <w:pPr>
              <w:rPr>
                <w:rFonts w:ascii="Garamond" w:hAnsi="Garamond"/>
                <w:sz w:val="24"/>
                <w:szCs w:val="24"/>
              </w:rPr>
            </w:pPr>
          </w:p>
        </w:tc>
        <w:tc>
          <w:tcPr>
            <w:tcW w:w="18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09AD1B7C" w14:textId="77777777" w:rsidR="00E3316C" w:rsidRPr="00102618" w:rsidRDefault="00E3316C">
            <w:pPr>
              <w:rPr>
                <w:rFonts w:ascii="Garamond" w:hAnsi="Garamond"/>
                <w:sz w:val="24"/>
                <w:szCs w:val="24"/>
              </w:rPr>
            </w:pPr>
          </w:p>
        </w:tc>
        <w:tc>
          <w:tcPr>
            <w:tcW w:w="12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1042994" w14:textId="77777777" w:rsidR="00E3316C" w:rsidRPr="00102618" w:rsidRDefault="00E3316C">
            <w:pPr>
              <w:rPr>
                <w:rFonts w:ascii="Garamond" w:hAnsi="Garamond"/>
                <w:sz w:val="24"/>
                <w:szCs w:val="24"/>
              </w:rPr>
            </w:pPr>
          </w:p>
        </w:tc>
      </w:tr>
      <w:tr w:rsidR="00E3316C" w:rsidRPr="00102618" w14:paraId="3321CC58" w14:textId="77777777">
        <w:tc>
          <w:tcPr>
            <w:tcW w:w="18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72ACA2BB" w14:textId="77777777" w:rsidR="00E3316C" w:rsidRPr="00102618" w:rsidRDefault="00E3316C">
            <w:pPr>
              <w:rPr>
                <w:rFonts w:ascii="Garamond" w:hAnsi="Garamond"/>
                <w:sz w:val="24"/>
                <w:szCs w:val="24"/>
              </w:rPr>
            </w:pPr>
          </w:p>
        </w:tc>
        <w:tc>
          <w:tcPr>
            <w:tcW w:w="18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63EBE215" w14:textId="77777777" w:rsidR="00E3316C" w:rsidRPr="00102618" w:rsidRDefault="00E3316C">
            <w:pPr>
              <w:rPr>
                <w:rFonts w:ascii="Garamond" w:hAnsi="Garamond"/>
                <w:sz w:val="24"/>
                <w:szCs w:val="24"/>
              </w:rPr>
            </w:pPr>
          </w:p>
        </w:tc>
        <w:tc>
          <w:tcPr>
            <w:tcW w:w="100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6B4D2D19" w14:textId="77777777" w:rsidR="00E3316C" w:rsidRPr="00102618" w:rsidRDefault="00E3316C">
            <w:pPr>
              <w:rPr>
                <w:rFonts w:ascii="Garamond" w:hAnsi="Garamond"/>
                <w:sz w:val="24"/>
                <w:szCs w:val="24"/>
              </w:rPr>
            </w:pPr>
          </w:p>
        </w:tc>
        <w:tc>
          <w:tcPr>
            <w:tcW w:w="100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0AC80063" w14:textId="77777777" w:rsidR="00E3316C" w:rsidRPr="00102618" w:rsidRDefault="00E3316C">
            <w:pPr>
              <w:rPr>
                <w:rFonts w:ascii="Garamond" w:hAnsi="Garamond"/>
                <w:sz w:val="24"/>
                <w:szCs w:val="24"/>
              </w:rPr>
            </w:pPr>
          </w:p>
        </w:tc>
        <w:tc>
          <w:tcPr>
            <w:tcW w:w="186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35C38373" w14:textId="77777777" w:rsidR="00E3316C" w:rsidRPr="00102618" w:rsidRDefault="00E3316C">
            <w:pPr>
              <w:rPr>
                <w:rFonts w:ascii="Garamond" w:hAnsi="Garamond"/>
                <w:sz w:val="24"/>
                <w:szCs w:val="24"/>
              </w:rPr>
            </w:pPr>
          </w:p>
        </w:tc>
        <w:tc>
          <w:tcPr>
            <w:tcW w:w="12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28969012" w14:textId="77777777" w:rsidR="00E3316C" w:rsidRPr="00102618" w:rsidRDefault="00E3316C">
            <w:pPr>
              <w:rPr>
                <w:rFonts w:ascii="Garamond" w:hAnsi="Garamond"/>
                <w:sz w:val="24"/>
                <w:szCs w:val="24"/>
              </w:rPr>
            </w:pPr>
          </w:p>
        </w:tc>
      </w:tr>
      <w:tr w:rsidR="00E3316C" w:rsidRPr="00102618" w14:paraId="791EA2E4" w14:textId="77777777">
        <w:tc>
          <w:tcPr>
            <w:tcW w:w="18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32A92296" w14:textId="77777777" w:rsidR="00E3316C" w:rsidRPr="00102618" w:rsidRDefault="00E3316C">
            <w:pPr>
              <w:rPr>
                <w:rFonts w:ascii="Garamond" w:hAnsi="Garamond"/>
                <w:sz w:val="24"/>
                <w:szCs w:val="24"/>
              </w:rPr>
            </w:pPr>
          </w:p>
        </w:tc>
        <w:tc>
          <w:tcPr>
            <w:tcW w:w="18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1DA0AD6F" w14:textId="77777777" w:rsidR="00E3316C" w:rsidRPr="00102618" w:rsidRDefault="00E3316C">
            <w:pPr>
              <w:rPr>
                <w:rFonts w:ascii="Garamond" w:hAnsi="Garamond"/>
                <w:sz w:val="24"/>
                <w:szCs w:val="24"/>
              </w:rPr>
            </w:pPr>
          </w:p>
        </w:tc>
        <w:tc>
          <w:tcPr>
            <w:tcW w:w="1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382A461A" w14:textId="77777777" w:rsidR="00E3316C" w:rsidRPr="00102618" w:rsidRDefault="00E3316C">
            <w:pPr>
              <w:rPr>
                <w:rFonts w:ascii="Garamond" w:hAnsi="Garamond"/>
                <w:sz w:val="24"/>
                <w:szCs w:val="24"/>
              </w:rPr>
            </w:pPr>
          </w:p>
        </w:tc>
        <w:tc>
          <w:tcPr>
            <w:tcW w:w="1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48D037ED" w14:textId="77777777" w:rsidR="00E3316C" w:rsidRPr="00102618" w:rsidRDefault="00E3316C">
            <w:pPr>
              <w:rPr>
                <w:rFonts w:ascii="Garamond" w:hAnsi="Garamond"/>
                <w:sz w:val="24"/>
                <w:szCs w:val="24"/>
              </w:rPr>
            </w:pPr>
          </w:p>
        </w:tc>
        <w:tc>
          <w:tcPr>
            <w:tcW w:w="18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76FE48D3" w14:textId="77777777" w:rsidR="00E3316C" w:rsidRPr="00102618" w:rsidRDefault="00E3316C">
            <w:pPr>
              <w:rPr>
                <w:rFonts w:ascii="Garamond" w:hAnsi="Garamond"/>
                <w:sz w:val="24"/>
                <w:szCs w:val="24"/>
              </w:rPr>
            </w:pPr>
          </w:p>
        </w:tc>
        <w:tc>
          <w:tcPr>
            <w:tcW w:w="12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143CBCAB" w14:textId="77777777" w:rsidR="00E3316C" w:rsidRPr="00102618" w:rsidRDefault="00E3316C">
            <w:pPr>
              <w:rPr>
                <w:rFonts w:ascii="Garamond" w:hAnsi="Garamond"/>
                <w:sz w:val="24"/>
                <w:szCs w:val="24"/>
              </w:rPr>
            </w:pPr>
          </w:p>
        </w:tc>
      </w:tr>
      <w:tr w:rsidR="00E3316C" w:rsidRPr="00102618" w14:paraId="70E53492" w14:textId="77777777">
        <w:tc>
          <w:tcPr>
            <w:tcW w:w="18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275BFC91" w14:textId="77777777" w:rsidR="00E3316C" w:rsidRPr="00102618" w:rsidRDefault="00E3316C">
            <w:pPr>
              <w:rPr>
                <w:rFonts w:ascii="Garamond" w:hAnsi="Garamond"/>
                <w:sz w:val="24"/>
                <w:szCs w:val="24"/>
              </w:rPr>
            </w:pPr>
          </w:p>
        </w:tc>
        <w:tc>
          <w:tcPr>
            <w:tcW w:w="18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0EF50432" w14:textId="77777777" w:rsidR="00E3316C" w:rsidRPr="00102618" w:rsidRDefault="00E3316C">
            <w:pPr>
              <w:rPr>
                <w:rFonts w:ascii="Garamond" w:hAnsi="Garamond"/>
                <w:sz w:val="24"/>
                <w:szCs w:val="24"/>
              </w:rPr>
            </w:pPr>
          </w:p>
        </w:tc>
        <w:tc>
          <w:tcPr>
            <w:tcW w:w="100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68AEAA82" w14:textId="77777777" w:rsidR="00E3316C" w:rsidRPr="00102618" w:rsidRDefault="00E3316C">
            <w:pPr>
              <w:rPr>
                <w:rFonts w:ascii="Garamond" w:hAnsi="Garamond"/>
                <w:sz w:val="24"/>
                <w:szCs w:val="24"/>
              </w:rPr>
            </w:pPr>
          </w:p>
        </w:tc>
        <w:tc>
          <w:tcPr>
            <w:tcW w:w="100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0FD02DD9" w14:textId="77777777" w:rsidR="00E3316C" w:rsidRPr="00102618" w:rsidRDefault="00E3316C">
            <w:pPr>
              <w:rPr>
                <w:rFonts w:ascii="Garamond" w:hAnsi="Garamond"/>
                <w:sz w:val="24"/>
                <w:szCs w:val="24"/>
              </w:rPr>
            </w:pPr>
          </w:p>
        </w:tc>
        <w:tc>
          <w:tcPr>
            <w:tcW w:w="186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407B9188" w14:textId="77777777" w:rsidR="00E3316C" w:rsidRPr="00102618" w:rsidRDefault="00E3316C">
            <w:pPr>
              <w:rPr>
                <w:rFonts w:ascii="Garamond" w:hAnsi="Garamond"/>
                <w:sz w:val="24"/>
                <w:szCs w:val="24"/>
              </w:rPr>
            </w:pPr>
          </w:p>
        </w:tc>
        <w:tc>
          <w:tcPr>
            <w:tcW w:w="12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5F8AF4FB" w14:textId="77777777" w:rsidR="00E3316C" w:rsidRPr="00102618" w:rsidRDefault="00E3316C">
            <w:pPr>
              <w:rPr>
                <w:rFonts w:ascii="Garamond" w:hAnsi="Garamond"/>
                <w:sz w:val="24"/>
                <w:szCs w:val="24"/>
              </w:rPr>
            </w:pPr>
          </w:p>
        </w:tc>
      </w:tr>
      <w:tr w:rsidR="00E3316C" w:rsidRPr="00102618" w14:paraId="7BA04278" w14:textId="77777777">
        <w:tc>
          <w:tcPr>
            <w:tcW w:w="18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41EBAC1" w14:textId="77777777" w:rsidR="00E3316C" w:rsidRPr="00102618" w:rsidRDefault="00E3316C">
            <w:pPr>
              <w:rPr>
                <w:rFonts w:ascii="Garamond" w:hAnsi="Garamond"/>
                <w:sz w:val="24"/>
                <w:szCs w:val="24"/>
              </w:rPr>
            </w:pPr>
          </w:p>
        </w:tc>
        <w:tc>
          <w:tcPr>
            <w:tcW w:w="18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49EF3F60" w14:textId="77777777" w:rsidR="00E3316C" w:rsidRPr="00102618" w:rsidRDefault="00E3316C">
            <w:pPr>
              <w:rPr>
                <w:rFonts w:ascii="Garamond" w:hAnsi="Garamond"/>
                <w:sz w:val="24"/>
                <w:szCs w:val="24"/>
              </w:rPr>
            </w:pPr>
          </w:p>
        </w:tc>
        <w:tc>
          <w:tcPr>
            <w:tcW w:w="1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7A5F27BA" w14:textId="77777777" w:rsidR="00E3316C" w:rsidRPr="00102618" w:rsidRDefault="00E3316C">
            <w:pPr>
              <w:rPr>
                <w:rFonts w:ascii="Garamond" w:hAnsi="Garamond"/>
                <w:sz w:val="24"/>
                <w:szCs w:val="24"/>
              </w:rPr>
            </w:pPr>
          </w:p>
        </w:tc>
        <w:tc>
          <w:tcPr>
            <w:tcW w:w="1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F841351" w14:textId="77777777" w:rsidR="00E3316C" w:rsidRPr="00102618" w:rsidRDefault="00E3316C">
            <w:pPr>
              <w:rPr>
                <w:rFonts w:ascii="Garamond" w:hAnsi="Garamond"/>
                <w:sz w:val="24"/>
                <w:szCs w:val="24"/>
              </w:rPr>
            </w:pPr>
          </w:p>
        </w:tc>
        <w:tc>
          <w:tcPr>
            <w:tcW w:w="18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78E5D0EE" w14:textId="77777777" w:rsidR="00E3316C" w:rsidRPr="00102618" w:rsidRDefault="00E3316C">
            <w:pPr>
              <w:rPr>
                <w:rFonts w:ascii="Garamond" w:hAnsi="Garamond"/>
                <w:sz w:val="24"/>
                <w:szCs w:val="24"/>
              </w:rPr>
            </w:pPr>
          </w:p>
        </w:tc>
        <w:tc>
          <w:tcPr>
            <w:tcW w:w="12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38D37BE" w14:textId="77777777" w:rsidR="00E3316C" w:rsidRPr="00102618" w:rsidRDefault="00E3316C">
            <w:pPr>
              <w:rPr>
                <w:rFonts w:ascii="Garamond" w:hAnsi="Garamond"/>
                <w:sz w:val="24"/>
                <w:szCs w:val="24"/>
              </w:rPr>
            </w:pPr>
          </w:p>
        </w:tc>
      </w:tr>
    </w:tbl>
    <w:p w14:paraId="4E22FC9D" w14:textId="77777777" w:rsidR="00E3316C" w:rsidRPr="00102618" w:rsidRDefault="00000000">
      <w:pPr>
        <w:rPr>
          <w:rFonts w:ascii="Garamond" w:hAnsi="Garamond"/>
          <w:sz w:val="24"/>
          <w:szCs w:val="24"/>
        </w:rPr>
      </w:pPr>
      <w:r w:rsidRPr="00102618">
        <w:rPr>
          <w:rFonts w:ascii="Garamond" w:hAnsi="Garamond"/>
          <w:sz w:val="24"/>
          <w:szCs w:val="24"/>
        </w:rPr>
        <w:br w:type="page"/>
      </w:r>
    </w:p>
    <w:p w14:paraId="2F41F904" w14:textId="77777777" w:rsidR="00E3316C" w:rsidRPr="00E40C5D" w:rsidRDefault="00000000">
      <w:pPr>
        <w:pStyle w:val="Heading2"/>
        <w:pBdr>
          <w:bottom w:val="single" w:sz="6" w:space="1" w:color="2E75B6"/>
        </w:pBdr>
        <w:rPr>
          <w:rFonts w:ascii="Garamond" w:hAnsi="Garamond"/>
          <w:color w:val="000000" w:themeColor="text1"/>
          <w:sz w:val="24"/>
          <w:szCs w:val="24"/>
        </w:rPr>
      </w:pPr>
      <w:r w:rsidRPr="00E40C5D">
        <w:rPr>
          <w:rFonts w:ascii="Garamond" w:hAnsi="Garamond"/>
          <w:color w:val="000000" w:themeColor="text1"/>
          <w:sz w:val="24"/>
          <w:szCs w:val="24"/>
        </w:rPr>
        <w:lastRenderedPageBreak/>
        <w:t>Section 13. Interpreter and Language-Access Guidance</w:t>
      </w:r>
    </w:p>
    <w:p w14:paraId="10FACA19" w14:textId="77777777" w:rsidR="00E3316C" w:rsidRPr="00E40C5D" w:rsidRDefault="00000000">
      <w:pPr>
        <w:spacing w:after="120"/>
        <w:rPr>
          <w:rFonts w:ascii="Garamond" w:hAnsi="Garamond"/>
          <w:color w:val="000000" w:themeColor="text1"/>
          <w:sz w:val="24"/>
          <w:szCs w:val="24"/>
        </w:rPr>
      </w:pPr>
      <w:r w:rsidRPr="00E40C5D">
        <w:rPr>
          <w:rFonts w:ascii="Garamond" w:hAnsi="Garamond"/>
          <w:color w:val="000000" w:themeColor="text1"/>
          <w:sz w:val="24"/>
          <w:szCs w:val="24"/>
        </w:rPr>
        <w:t xml:space="preserve">Language access in asylum proceedings is not a neutral administrative function—it is a variable that directly shapes memory retrieval, comprehension, and the testimonial record. Research establishes that the language in which experiences were encoded affects which autobiographical memories are most accessible (Marian &amp; Neisser, 2000); that interpreter practices including summarization, compression, and culturally loaded connotation can alter meaning in ways that modify the official record (Ottosson et al., 2024; Mellinger &amp; </w:t>
      </w:r>
      <w:proofErr w:type="spellStart"/>
      <w:r w:rsidRPr="00E40C5D">
        <w:rPr>
          <w:rFonts w:ascii="Garamond" w:hAnsi="Garamond"/>
          <w:color w:val="000000" w:themeColor="text1"/>
          <w:sz w:val="24"/>
          <w:szCs w:val="24"/>
        </w:rPr>
        <w:t>Dadhania</w:t>
      </w:r>
      <w:proofErr w:type="spellEnd"/>
      <w:r w:rsidRPr="00E40C5D">
        <w:rPr>
          <w:rFonts w:ascii="Garamond" w:hAnsi="Garamond"/>
          <w:color w:val="000000" w:themeColor="text1"/>
          <w:sz w:val="24"/>
          <w:szCs w:val="24"/>
        </w:rPr>
        <w:t>, 2025); and that non-native speakers are judged less credible even when equally accurate, meaning that hesitation, reduced fluency, or low confidence should not serve as proxies for deception (Raver et al., 2023). This section makes interpretation visible throughout the case workflow, provides practical guidance for before, during, and after interpreted meetings, and offers a structured log for documenting issues that may affect the testimonial record.</w:t>
      </w:r>
    </w:p>
    <w:p w14:paraId="0027EB0A" w14:textId="77777777" w:rsidR="00E3316C" w:rsidRPr="00E40C5D" w:rsidRDefault="00E3316C">
      <w:pPr>
        <w:spacing w:before="60" w:after="60"/>
        <w:rPr>
          <w:rFonts w:ascii="Garamond" w:hAnsi="Garamond"/>
          <w:color w:val="000000" w:themeColor="text1"/>
          <w:sz w:val="24"/>
          <w:szCs w:val="24"/>
        </w:rPr>
      </w:pPr>
    </w:p>
    <w:p w14:paraId="16709CD3" w14:textId="77777777" w:rsidR="00E3316C" w:rsidRPr="00E40C5D" w:rsidRDefault="00000000">
      <w:pPr>
        <w:pStyle w:val="Heading3"/>
        <w:rPr>
          <w:rFonts w:ascii="Garamond" w:hAnsi="Garamond"/>
          <w:color w:val="000000" w:themeColor="text1"/>
          <w:sz w:val="24"/>
          <w:szCs w:val="24"/>
        </w:rPr>
      </w:pPr>
      <w:r w:rsidRPr="00E40C5D">
        <w:rPr>
          <w:rFonts w:ascii="Garamond" w:hAnsi="Garamond"/>
          <w:color w:val="000000" w:themeColor="text1"/>
          <w:sz w:val="24"/>
          <w:szCs w:val="24"/>
        </w:rPr>
        <w:t>13A.  Before the Meeting</w:t>
      </w:r>
    </w:p>
    <w:p w14:paraId="793D1B59"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Identify</w:t>
      </w:r>
      <w:proofErr w:type="gramEnd"/>
      <w:r w:rsidRPr="00E40C5D">
        <w:rPr>
          <w:rFonts w:ascii="Garamond" w:hAnsi="Garamond"/>
          <w:color w:val="000000" w:themeColor="text1"/>
          <w:sz w:val="24"/>
          <w:szCs w:val="24"/>
        </w:rPr>
        <w:t xml:space="preserve"> the client's strongest language and dialect, and if </w:t>
      </w:r>
      <w:proofErr w:type="gramStart"/>
      <w:r w:rsidRPr="00E40C5D">
        <w:rPr>
          <w:rFonts w:ascii="Garamond" w:hAnsi="Garamond"/>
          <w:color w:val="000000" w:themeColor="text1"/>
          <w:sz w:val="24"/>
          <w:szCs w:val="24"/>
        </w:rPr>
        <w:t>possible</w:t>
      </w:r>
      <w:proofErr w:type="gramEnd"/>
      <w:r w:rsidRPr="00E40C5D">
        <w:rPr>
          <w:rFonts w:ascii="Garamond" w:hAnsi="Garamond"/>
          <w:color w:val="000000" w:themeColor="text1"/>
          <w:sz w:val="24"/>
          <w:szCs w:val="24"/>
        </w:rPr>
        <w:t xml:space="preserve"> the language used during key events.</w:t>
      </w:r>
    </w:p>
    <w:p w14:paraId="384F2597"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Ask</w:t>
      </w:r>
      <w:proofErr w:type="gramEnd"/>
      <w:r w:rsidRPr="00E40C5D">
        <w:rPr>
          <w:rFonts w:ascii="Garamond" w:hAnsi="Garamond"/>
          <w:color w:val="000000" w:themeColor="text1"/>
          <w:sz w:val="24"/>
          <w:szCs w:val="24"/>
        </w:rPr>
        <w:t xml:space="preserve"> whether a gender preference, cultural concern, or prior relationship makes a particular interpreter unsuitable.</w:t>
      </w:r>
    </w:p>
    <w:p w14:paraId="4F61F24A"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Clarify</w:t>
      </w:r>
      <w:proofErr w:type="gramEnd"/>
      <w:r w:rsidRPr="00E40C5D">
        <w:rPr>
          <w:rFonts w:ascii="Garamond" w:hAnsi="Garamond"/>
          <w:color w:val="000000" w:themeColor="text1"/>
          <w:sz w:val="24"/>
          <w:szCs w:val="24"/>
        </w:rPr>
        <w:t xml:space="preserve"> confidentiality and explain that the client can ask for clarification or a change if the interpretation feels wrong.</w:t>
      </w:r>
    </w:p>
    <w:p w14:paraId="7B98D1F4"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Avoid</w:t>
      </w:r>
      <w:proofErr w:type="gramEnd"/>
      <w:r w:rsidRPr="00E40C5D">
        <w:rPr>
          <w:rFonts w:ascii="Garamond" w:hAnsi="Garamond"/>
          <w:color w:val="000000" w:themeColor="text1"/>
          <w:sz w:val="24"/>
          <w:szCs w:val="24"/>
        </w:rPr>
        <w:t xml:space="preserve"> using family or community members as interpreters when there is a conflict, shame barrier, or safety concern.</w:t>
      </w:r>
    </w:p>
    <w:p w14:paraId="30BB6C03" w14:textId="77777777" w:rsidR="00E3316C" w:rsidRPr="00E40C5D" w:rsidRDefault="00E3316C">
      <w:pPr>
        <w:spacing w:before="60" w:after="60"/>
        <w:rPr>
          <w:rFonts w:ascii="Garamond" w:hAnsi="Garamond"/>
          <w:color w:val="000000" w:themeColor="text1"/>
          <w:sz w:val="24"/>
          <w:szCs w:val="24"/>
        </w:rPr>
      </w:pPr>
    </w:p>
    <w:p w14:paraId="212B77FF" w14:textId="77777777" w:rsidR="00E3316C" w:rsidRPr="00E40C5D" w:rsidRDefault="00000000">
      <w:pPr>
        <w:pStyle w:val="Heading3"/>
        <w:rPr>
          <w:rFonts w:ascii="Garamond" w:hAnsi="Garamond"/>
          <w:color w:val="000000" w:themeColor="text1"/>
          <w:sz w:val="24"/>
          <w:szCs w:val="24"/>
        </w:rPr>
      </w:pPr>
      <w:r w:rsidRPr="00E40C5D">
        <w:rPr>
          <w:rFonts w:ascii="Garamond" w:hAnsi="Garamond"/>
          <w:color w:val="000000" w:themeColor="text1"/>
          <w:sz w:val="24"/>
          <w:szCs w:val="24"/>
        </w:rPr>
        <w:t>13B.  During the Meeting</w:t>
      </w:r>
    </w:p>
    <w:p w14:paraId="1BA7415D"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Speak</w:t>
      </w:r>
      <w:proofErr w:type="gramEnd"/>
      <w:r w:rsidRPr="00E40C5D">
        <w:rPr>
          <w:rFonts w:ascii="Garamond" w:hAnsi="Garamond"/>
          <w:color w:val="000000" w:themeColor="text1"/>
          <w:sz w:val="24"/>
          <w:szCs w:val="24"/>
        </w:rPr>
        <w:t xml:space="preserve"> in short units and avoid jargon or idioms.</w:t>
      </w:r>
    </w:p>
    <w:p w14:paraId="7A834A73"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Watch</w:t>
      </w:r>
      <w:proofErr w:type="gramEnd"/>
      <w:r w:rsidRPr="00E40C5D">
        <w:rPr>
          <w:rFonts w:ascii="Garamond" w:hAnsi="Garamond"/>
          <w:color w:val="000000" w:themeColor="text1"/>
          <w:sz w:val="24"/>
          <w:szCs w:val="24"/>
        </w:rPr>
        <w:t xml:space="preserve"> for long client answers followed by very short interpreter summaries.</w:t>
      </w:r>
    </w:p>
    <w:p w14:paraId="19CC0A6D"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Use</w:t>
      </w:r>
      <w:proofErr w:type="gramEnd"/>
      <w:r w:rsidRPr="00E40C5D">
        <w:rPr>
          <w:rFonts w:ascii="Garamond" w:hAnsi="Garamond"/>
          <w:color w:val="000000" w:themeColor="text1"/>
          <w:sz w:val="24"/>
          <w:szCs w:val="24"/>
        </w:rPr>
        <w:t xml:space="preserve"> meaning-check questions when a term feels culturally loaded or when the client looks confused.</w:t>
      </w:r>
    </w:p>
    <w:p w14:paraId="43B8B99C"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Document</w:t>
      </w:r>
      <w:proofErr w:type="gramEnd"/>
      <w:r w:rsidRPr="00E40C5D">
        <w:rPr>
          <w:rFonts w:ascii="Garamond" w:hAnsi="Garamond"/>
          <w:color w:val="000000" w:themeColor="text1"/>
          <w:sz w:val="24"/>
          <w:szCs w:val="24"/>
        </w:rPr>
        <w:t xml:space="preserve"> visible problems in real time rather than assuming you will remember them later.</w:t>
      </w:r>
    </w:p>
    <w:p w14:paraId="20B5707D"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Pause</w:t>
      </w:r>
      <w:proofErr w:type="gramEnd"/>
      <w:r w:rsidRPr="00E40C5D">
        <w:rPr>
          <w:rFonts w:ascii="Garamond" w:hAnsi="Garamond"/>
          <w:color w:val="000000" w:themeColor="text1"/>
          <w:sz w:val="24"/>
          <w:szCs w:val="24"/>
        </w:rPr>
        <w:t xml:space="preserve"> if the client wants clarification, a break, prayer time, water, or grounding.</w:t>
      </w:r>
    </w:p>
    <w:p w14:paraId="6BA92494" w14:textId="77777777" w:rsidR="00E3316C" w:rsidRPr="00E40C5D" w:rsidRDefault="00E3316C">
      <w:pPr>
        <w:spacing w:before="60" w:after="60"/>
        <w:rPr>
          <w:rFonts w:ascii="Garamond" w:hAnsi="Garamond"/>
          <w:color w:val="000000" w:themeColor="text1"/>
          <w:sz w:val="24"/>
          <w:szCs w:val="24"/>
        </w:rPr>
      </w:pPr>
    </w:p>
    <w:p w14:paraId="52ED324F" w14:textId="77777777" w:rsidR="00E3316C" w:rsidRPr="00E40C5D" w:rsidRDefault="00000000">
      <w:pPr>
        <w:pStyle w:val="Heading3"/>
        <w:rPr>
          <w:rFonts w:ascii="Garamond" w:hAnsi="Garamond"/>
          <w:color w:val="000000" w:themeColor="text1"/>
          <w:sz w:val="24"/>
          <w:szCs w:val="24"/>
        </w:rPr>
      </w:pPr>
      <w:r w:rsidRPr="00E40C5D">
        <w:rPr>
          <w:rFonts w:ascii="Garamond" w:hAnsi="Garamond"/>
          <w:color w:val="000000" w:themeColor="text1"/>
          <w:sz w:val="24"/>
          <w:szCs w:val="24"/>
        </w:rPr>
        <w:t>13C.  After the Meeting</w:t>
      </w:r>
    </w:p>
    <w:p w14:paraId="70AFD3CB"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Note</w:t>
      </w:r>
      <w:proofErr w:type="gramEnd"/>
      <w:r w:rsidRPr="00E40C5D">
        <w:rPr>
          <w:rFonts w:ascii="Garamond" w:hAnsi="Garamond"/>
          <w:color w:val="000000" w:themeColor="text1"/>
          <w:sz w:val="24"/>
          <w:szCs w:val="24"/>
        </w:rPr>
        <w:t xml:space="preserve"> any interpreter issues that could affect the record.</w:t>
      </w:r>
    </w:p>
    <w:p w14:paraId="245CFD72"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Identify</w:t>
      </w:r>
      <w:proofErr w:type="gramEnd"/>
      <w:r w:rsidRPr="00E40C5D">
        <w:rPr>
          <w:rFonts w:ascii="Garamond" w:hAnsi="Garamond"/>
          <w:color w:val="000000" w:themeColor="text1"/>
          <w:sz w:val="24"/>
          <w:szCs w:val="24"/>
        </w:rPr>
        <w:t xml:space="preserve"> whether a follow-up meeting is needed with a different interpreter or clearer terminology.</w:t>
      </w:r>
    </w:p>
    <w:p w14:paraId="1E73CB11" w14:textId="77777777" w:rsidR="00E3316C" w:rsidRPr="00E40C5D" w:rsidRDefault="00000000">
      <w:pPr>
        <w:spacing w:after="60"/>
        <w:ind w:left="360" w:hanging="360"/>
        <w:rPr>
          <w:rFonts w:ascii="Garamond" w:hAnsi="Garamond"/>
          <w:color w:val="000000" w:themeColor="text1"/>
          <w:sz w:val="24"/>
          <w:szCs w:val="24"/>
        </w:rPr>
      </w:pPr>
      <w:proofErr w:type="gramStart"/>
      <w:r w:rsidRPr="00E40C5D">
        <w:rPr>
          <w:rFonts w:ascii="Segoe UI Symbol" w:hAnsi="Segoe UI Symbol" w:cs="Segoe UI Symbol"/>
          <w:color w:val="000000" w:themeColor="text1"/>
          <w:sz w:val="24"/>
          <w:szCs w:val="24"/>
        </w:rPr>
        <w:t>☐</w:t>
      </w:r>
      <w:r w:rsidRPr="00E40C5D">
        <w:rPr>
          <w:rFonts w:ascii="Garamond" w:hAnsi="Garamond"/>
          <w:color w:val="000000" w:themeColor="text1"/>
          <w:sz w:val="24"/>
          <w:szCs w:val="24"/>
        </w:rPr>
        <w:t xml:space="preserve">  If</w:t>
      </w:r>
      <w:proofErr w:type="gramEnd"/>
      <w:r w:rsidRPr="00E40C5D">
        <w:rPr>
          <w:rFonts w:ascii="Garamond" w:hAnsi="Garamond"/>
          <w:color w:val="000000" w:themeColor="text1"/>
          <w:sz w:val="24"/>
          <w:szCs w:val="24"/>
        </w:rPr>
        <w:t xml:space="preserve"> an earlier interpreted answer appears materially distorted, document the reason for the clarification rather than treating it as a free-floating inconsistency.</w:t>
      </w:r>
    </w:p>
    <w:p w14:paraId="5B421E0C" w14:textId="77777777" w:rsidR="00E3316C" w:rsidRPr="00E40C5D" w:rsidRDefault="00E3316C">
      <w:pPr>
        <w:spacing w:before="60" w:after="60"/>
        <w:rPr>
          <w:rFonts w:ascii="Garamond" w:hAnsi="Garamond"/>
          <w:color w:val="000000" w:themeColor="text1"/>
          <w:sz w:val="24"/>
          <w:szCs w:val="24"/>
        </w:rPr>
      </w:pPr>
    </w:p>
    <w:p w14:paraId="12878828" w14:textId="77777777" w:rsidR="00E3316C" w:rsidRPr="00E40C5D" w:rsidRDefault="00000000">
      <w:pPr>
        <w:pStyle w:val="Heading3"/>
        <w:rPr>
          <w:rFonts w:ascii="Garamond" w:hAnsi="Garamond"/>
          <w:color w:val="000000" w:themeColor="text1"/>
          <w:sz w:val="24"/>
          <w:szCs w:val="24"/>
        </w:rPr>
      </w:pPr>
      <w:r w:rsidRPr="00E40C5D">
        <w:rPr>
          <w:rFonts w:ascii="Garamond" w:hAnsi="Garamond"/>
          <w:color w:val="000000" w:themeColor="text1"/>
          <w:sz w:val="24"/>
          <w:szCs w:val="24"/>
        </w:rPr>
        <w:lastRenderedPageBreak/>
        <w:t>13D.  Interpreter Observation and Meaning Log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40"/>
        <w:gridCol w:w="3120"/>
      </w:tblGrid>
      <w:tr w:rsidR="00E3316C" w:rsidRPr="00102618" w14:paraId="584AE5B8" w14:textId="77777777">
        <w:trPr>
          <w:tblHeader/>
        </w:trPr>
        <w:tc>
          <w:tcPr>
            <w:tcW w:w="624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747F192E" w14:textId="77777777" w:rsidR="00E3316C" w:rsidRPr="00102618" w:rsidRDefault="00000000">
            <w:pPr>
              <w:rPr>
                <w:rFonts w:ascii="Garamond" w:hAnsi="Garamond"/>
                <w:sz w:val="24"/>
                <w:szCs w:val="24"/>
              </w:rPr>
            </w:pPr>
            <w:r w:rsidRPr="00102618">
              <w:rPr>
                <w:rFonts w:ascii="Garamond" w:hAnsi="Garamond"/>
                <w:b/>
                <w:bCs/>
                <w:color w:val="FFFFFF"/>
                <w:sz w:val="24"/>
                <w:szCs w:val="24"/>
              </w:rPr>
              <w:t>Field</w:t>
            </w:r>
          </w:p>
        </w:tc>
        <w:tc>
          <w:tcPr>
            <w:tcW w:w="31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4AF5F1D2" w14:textId="77777777" w:rsidR="00E3316C" w:rsidRPr="00102618" w:rsidRDefault="00000000">
            <w:pPr>
              <w:rPr>
                <w:rFonts w:ascii="Garamond" w:hAnsi="Garamond"/>
                <w:sz w:val="24"/>
                <w:szCs w:val="24"/>
              </w:rPr>
            </w:pPr>
            <w:r w:rsidRPr="00102618">
              <w:rPr>
                <w:rFonts w:ascii="Garamond" w:hAnsi="Garamond"/>
                <w:b/>
                <w:bCs/>
                <w:color w:val="FFFFFF"/>
                <w:sz w:val="24"/>
                <w:szCs w:val="24"/>
              </w:rPr>
              <w:t>Notes</w:t>
            </w:r>
          </w:p>
        </w:tc>
      </w:tr>
      <w:tr w:rsidR="00E3316C" w:rsidRPr="00102618" w14:paraId="2463F117" w14:textId="77777777">
        <w:tc>
          <w:tcPr>
            <w:tcW w:w="6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4C5BBB47" w14:textId="77777777" w:rsidR="00E3316C" w:rsidRPr="00102618" w:rsidRDefault="00000000">
            <w:pPr>
              <w:rPr>
                <w:rFonts w:ascii="Garamond" w:hAnsi="Garamond"/>
                <w:sz w:val="24"/>
                <w:szCs w:val="24"/>
              </w:rPr>
            </w:pPr>
            <w:r w:rsidRPr="00102618">
              <w:rPr>
                <w:rFonts w:ascii="Garamond" w:hAnsi="Garamond"/>
                <w:sz w:val="24"/>
                <w:szCs w:val="24"/>
              </w:rPr>
              <w:t>Meeting date</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762C8129" w14:textId="77777777" w:rsidR="00E3316C" w:rsidRPr="00102618" w:rsidRDefault="00E3316C">
            <w:pPr>
              <w:rPr>
                <w:rFonts w:ascii="Garamond" w:hAnsi="Garamond"/>
                <w:sz w:val="24"/>
                <w:szCs w:val="24"/>
              </w:rPr>
            </w:pPr>
          </w:p>
        </w:tc>
      </w:tr>
      <w:tr w:rsidR="00E3316C" w:rsidRPr="00102618" w14:paraId="27B4B010" w14:textId="77777777">
        <w:tc>
          <w:tcPr>
            <w:tcW w:w="62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2924C81D" w14:textId="77777777" w:rsidR="00E3316C" w:rsidRPr="00102618" w:rsidRDefault="00000000">
            <w:pPr>
              <w:rPr>
                <w:rFonts w:ascii="Garamond" w:hAnsi="Garamond"/>
                <w:sz w:val="24"/>
                <w:szCs w:val="24"/>
              </w:rPr>
            </w:pPr>
            <w:r w:rsidRPr="00102618">
              <w:rPr>
                <w:rFonts w:ascii="Garamond" w:hAnsi="Garamond"/>
                <w:sz w:val="24"/>
                <w:szCs w:val="24"/>
              </w:rPr>
              <w:t>Interpreter name / agency</w:t>
            </w:r>
          </w:p>
        </w:tc>
        <w:tc>
          <w:tcPr>
            <w:tcW w:w="31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031DC254" w14:textId="77777777" w:rsidR="00E3316C" w:rsidRPr="00102618" w:rsidRDefault="00E3316C">
            <w:pPr>
              <w:rPr>
                <w:rFonts w:ascii="Garamond" w:hAnsi="Garamond"/>
                <w:sz w:val="24"/>
                <w:szCs w:val="24"/>
              </w:rPr>
            </w:pPr>
          </w:p>
        </w:tc>
      </w:tr>
      <w:tr w:rsidR="00E3316C" w:rsidRPr="00102618" w14:paraId="5E54A1EC" w14:textId="77777777">
        <w:tc>
          <w:tcPr>
            <w:tcW w:w="6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9D31B59" w14:textId="77777777" w:rsidR="00E3316C" w:rsidRPr="00102618" w:rsidRDefault="00000000">
            <w:pPr>
              <w:rPr>
                <w:rFonts w:ascii="Garamond" w:hAnsi="Garamond"/>
                <w:sz w:val="24"/>
                <w:szCs w:val="24"/>
              </w:rPr>
            </w:pPr>
            <w:r w:rsidRPr="00102618">
              <w:rPr>
                <w:rFonts w:ascii="Garamond" w:hAnsi="Garamond"/>
                <w:sz w:val="24"/>
                <w:szCs w:val="24"/>
              </w:rPr>
              <w:t>Language of encoding (language spoken during persecution)</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12CD0565" w14:textId="77777777" w:rsidR="00E3316C" w:rsidRPr="00102618" w:rsidRDefault="00E3316C">
            <w:pPr>
              <w:rPr>
                <w:rFonts w:ascii="Garamond" w:hAnsi="Garamond"/>
                <w:sz w:val="24"/>
                <w:szCs w:val="24"/>
              </w:rPr>
            </w:pPr>
          </w:p>
        </w:tc>
      </w:tr>
      <w:tr w:rsidR="00E3316C" w:rsidRPr="00102618" w14:paraId="36012952" w14:textId="77777777">
        <w:tc>
          <w:tcPr>
            <w:tcW w:w="62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6FD4B758" w14:textId="77777777" w:rsidR="00E3316C" w:rsidRPr="00102618" w:rsidRDefault="00000000">
            <w:pPr>
              <w:rPr>
                <w:rFonts w:ascii="Garamond" w:hAnsi="Garamond"/>
                <w:sz w:val="24"/>
                <w:szCs w:val="24"/>
              </w:rPr>
            </w:pPr>
            <w:r w:rsidRPr="00102618">
              <w:rPr>
                <w:rFonts w:ascii="Garamond" w:hAnsi="Garamond"/>
                <w:sz w:val="24"/>
                <w:szCs w:val="24"/>
              </w:rPr>
              <w:t>Language of interview</w:t>
            </w:r>
          </w:p>
        </w:tc>
        <w:tc>
          <w:tcPr>
            <w:tcW w:w="31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4E8A984A" w14:textId="77777777" w:rsidR="00E3316C" w:rsidRPr="00102618" w:rsidRDefault="00E3316C">
            <w:pPr>
              <w:rPr>
                <w:rFonts w:ascii="Garamond" w:hAnsi="Garamond"/>
                <w:sz w:val="24"/>
                <w:szCs w:val="24"/>
              </w:rPr>
            </w:pPr>
          </w:p>
        </w:tc>
      </w:tr>
      <w:tr w:rsidR="00E3316C" w:rsidRPr="00102618" w14:paraId="22E110D6" w14:textId="77777777">
        <w:tc>
          <w:tcPr>
            <w:tcW w:w="6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659B11D8" w14:textId="77777777" w:rsidR="00E3316C" w:rsidRPr="00102618" w:rsidRDefault="00000000">
            <w:pPr>
              <w:rPr>
                <w:rFonts w:ascii="Garamond" w:hAnsi="Garamond"/>
                <w:sz w:val="24"/>
                <w:szCs w:val="24"/>
              </w:rPr>
            </w:pPr>
            <w:r w:rsidRPr="00102618">
              <w:rPr>
                <w:rFonts w:ascii="Garamond" w:hAnsi="Garamond"/>
                <w:sz w:val="24"/>
                <w:szCs w:val="24"/>
              </w:rPr>
              <w:t>Potential dialect mismatch?</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09086A42" w14:textId="77777777" w:rsidR="00E3316C" w:rsidRPr="00102618" w:rsidRDefault="00E3316C">
            <w:pPr>
              <w:rPr>
                <w:rFonts w:ascii="Garamond" w:hAnsi="Garamond"/>
                <w:sz w:val="24"/>
                <w:szCs w:val="24"/>
              </w:rPr>
            </w:pPr>
          </w:p>
        </w:tc>
      </w:tr>
      <w:tr w:rsidR="00E3316C" w:rsidRPr="00102618" w14:paraId="4FC9538C" w14:textId="77777777">
        <w:tc>
          <w:tcPr>
            <w:tcW w:w="62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2F4FB7B0" w14:textId="77777777" w:rsidR="00E3316C" w:rsidRPr="00102618" w:rsidRDefault="00000000">
            <w:pPr>
              <w:rPr>
                <w:rFonts w:ascii="Garamond" w:hAnsi="Garamond"/>
                <w:sz w:val="24"/>
                <w:szCs w:val="24"/>
              </w:rPr>
            </w:pPr>
            <w:r w:rsidRPr="00102618">
              <w:rPr>
                <w:rFonts w:ascii="Garamond" w:hAnsi="Garamond"/>
                <w:sz w:val="24"/>
                <w:szCs w:val="24"/>
              </w:rPr>
              <w:t>Observed summarization / compression?</w:t>
            </w:r>
          </w:p>
        </w:tc>
        <w:tc>
          <w:tcPr>
            <w:tcW w:w="31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20469B87" w14:textId="77777777" w:rsidR="00E3316C" w:rsidRPr="00102618" w:rsidRDefault="00E3316C">
            <w:pPr>
              <w:rPr>
                <w:rFonts w:ascii="Garamond" w:hAnsi="Garamond"/>
                <w:sz w:val="24"/>
                <w:szCs w:val="24"/>
              </w:rPr>
            </w:pPr>
          </w:p>
        </w:tc>
      </w:tr>
      <w:tr w:rsidR="00E3316C" w:rsidRPr="00102618" w14:paraId="576E72E3" w14:textId="77777777">
        <w:tc>
          <w:tcPr>
            <w:tcW w:w="6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799702F7" w14:textId="77777777" w:rsidR="00E3316C" w:rsidRPr="00102618" w:rsidRDefault="00000000">
            <w:pPr>
              <w:rPr>
                <w:rFonts w:ascii="Garamond" w:hAnsi="Garamond"/>
                <w:sz w:val="24"/>
                <w:szCs w:val="24"/>
              </w:rPr>
            </w:pPr>
            <w:r w:rsidRPr="00102618">
              <w:rPr>
                <w:rFonts w:ascii="Garamond" w:hAnsi="Garamond"/>
                <w:sz w:val="24"/>
                <w:szCs w:val="24"/>
              </w:rPr>
              <w:t>Culturally loaded term mismatch?</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3159A728" w14:textId="77777777" w:rsidR="00E3316C" w:rsidRPr="00102618" w:rsidRDefault="00E3316C">
            <w:pPr>
              <w:rPr>
                <w:rFonts w:ascii="Garamond" w:hAnsi="Garamond"/>
                <w:sz w:val="24"/>
                <w:szCs w:val="24"/>
              </w:rPr>
            </w:pPr>
          </w:p>
        </w:tc>
      </w:tr>
      <w:tr w:rsidR="00E3316C" w:rsidRPr="00102618" w14:paraId="47B017D9" w14:textId="77777777">
        <w:tc>
          <w:tcPr>
            <w:tcW w:w="62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433A41A3" w14:textId="77777777" w:rsidR="00E3316C" w:rsidRPr="00102618" w:rsidRDefault="00000000">
            <w:pPr>
              <w:rPr>
                <w:rFonts w:ascii="Garamond" w:hAnsi="Garamond"/>
                <w:sz w:val="24"/>
                <w:szCs w:val="24"/>
              </w:rPr>
            </w:pPr>
            <w:r w:rsidRPr="00102618">
              <w:rPr>
                <w:rFonts w:ascii="Garamond" w:hAnsi="Garamond"/>
                <w:sz w:val="24"/>
                <w:szCs w:val="24"/>
              </w:rPr>
              <w:t>Additional notes</w:t>
            </w:r>
          </w:p>
        </w:tc>
        <w:tc>
          <w:tcPr>
            <w:tcW w:w="31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2CF4D585" w14:textId="77777777" w:rsidR="00E3316C" w:rsidRPr="00102618" w:rsidRDefault="00E3316C">
            <w:pPr>
              <w:rPr>
                <w:rFonts w:ascii="Garamond" w:hAnsi="Garamond"/>
                <w:sz w:val="24"/>
                <w:szCs w:val="24"/>
              </w:rPr>
            </w:pPr>
          </w:p>
        </w:tc>
      </w:tr>
    </w:tbl>
    <w:p w14:paraId="498FB314" w14:textId="77777777" w:rsidR="00E3316C" w:rsidRPr="00102618" w:rsidRDefault="00000000">
      <w:pPr>
        <w:rPr>
          <w:rFonts w:ascii="Garamond" w:hAnsi="Garamond"/>
          <w:sz w:val="24"/>
          <w:szCs w:val="24"/>
        </w:rPr>
      </w:pPr>
      <w:r w:rsidRPr="00102618">
        <w:rPr>
          <w:rFonts w:ascii="Garamond" w:hAnsi="Garamond"/>
          <w:sz w:val="24"/>
          <w:szCs w:val="24"/>
        </w:rPr>
        <w:br w:type="page"/>
      </w:r>
    </w:p>
    <w:p w14:paraId="28D5D88A" w14:textId="77777777" w:rsidR="00E3316C" w:rsidRPr="00E40C5D" w:rsidRDefault="00000000">
      <w:pPr>
        <w:pStyle w:val="Heading2"/>
        <w:pBdr>
          <w:bottom w:val="single" w:sz="6" w:space="1" w:color="2E75B6"/>
        </w:pBdr>
        <w:rPr>
          <w:rFonts w:ascii="Garamond" w:hAnsi="Garamond"/>
          <w:color w:val="000000" w:themeColor="text1"/>
          <w:sz w:val="24"/>
          <w:szCs w:val="24"/>
        </w:rPr>
      </w:pPr>
      <w:r w:rsidRPr="00E40C5D">
        <w:rPr>
          <w:rFonts w:ascii="Garamond" w:hAnsi="Garamond"/>
          <w:color w:val="000000" w:themeColor="text1"/>
          <w:sz w:val="24"/>
          <w:szCs w:val="24"/>
        </w:rPr>
        <w:lastRenderedPageBreak/>
        <w:t>Section 14. Science Briefs and Citations Attorneys Can Use</w:t>
      </w:r>
    </w:p>
    <w:p w14:paraId="2EE0EA8B" w14:textId="77777777" w:rsidR="00E3316C" w:rsidRPr="00102618" w:rsidRDefault="00000000">
      <w:pPr>
        <w:spacing w:after="120"/>
        <w:rPr>
          <w:rFonts w:ascii="Garamond" w:hAnsi="Garamond"/>
          <w:sz w:val="24"/>
          <w:szCs w:val="24"/>
        </w:rPr>
      </w:pPr>
      <w:r w:rsidRPr="00102618">
        <w:rPr>
          <w:rFonts w:ascii="Garamond" w:hAnsi="Garamond"/>
          <w:sz w:val="24"/>
          <w:szCs w:val="24"/>
        </w:rPr>
        <w:t>This section provides a curated bank of brief-ready, case-anchored propositions drawn from the peer-reviewed literature. Its purpose is not to turn every declaration into a literature review but to give practitioners a small, targeted set of research summaries they can cite selectively when credibility, delay, chronology, interpreter issues, or developmental context are likely to be misread. Each proposition is stated in attorney-accessible language and accompanied by its core citation. Practitioners should use these selectively, only where the proposition directly addresses a weakness in the record that needs explanation.</w:t>
      </w:r>
    </w:p>
    <w:p w14:paraId="0592AA1F" w14:textId="77777777" w:rsidR="00E3316C" w:rsidRPr="00102618" w:rsidRDefault="00E3316C">
      <w:pPr>
        <w:spacing w:before="60" w:after="60"/>
        <w:rPr>
          <w:rFonts w:ascii="Garamond" w:hAnsi="Garamond"/>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20"/>
        <w:gridCol w:w="3240"/>
      </w:tblGrid>
      <w:tr w:rsidR="00E3316C" w:rsidRPr="00102618" w14:paraId="58F1DC73" w14:textId="77777777">
        <w:trPr>
          <w:tblHeader/>
        </w:trPr>
        <w:tc>
          <w:tcPr>
            <w:tcW w:w="61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66950FA5" w14:textId="77777777" w:rsidR="00E3316C" w:rsidRPr="00102618" w:rsidRDefault="00000000">
            <w:pPr>
              <w:rPr>
                <w:rFonts w:ascii="Garamond" w:hAnsi="Garamond"/>
                <w:sz w:val="24"/>
                <w:szCs w:val="24"/>
              </w:rPr>
            </w:pPr>
            <w:r w:rsidRPr="00102618">
              <w:rPr>
                <w:rFonts w:ascii="Garamond" w:hAnsi="Garamond"/>
                <w:b/>
                <w:bCs/>
                <w:color w:val="FFFFFF"/>
                <w:sz w:val="24"/>
                <w:szCs w:val="24"/>
              </w:rPr>
              <w:t>Issue</w:t>
            </w:r>
          </w:p>
        </w:tc>
        <w:tc>
          <w:tcPr>
            <w:tcW w:w="324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7F862978" w14:textId="77777777" w:rsidR="00E3316C" w:rsidRPr="00102618" w:rsidRDefault="00000000">
            <w:pPr>
              <w:rPr>
                <w:rFonts w:ascii="Garamond" w:hAnsi="Garamond"/>
                <w:sz w:val="24"/>
                <w:szCs w:val="24"/>
              </w:rPr>
            </w:pPr>
            <w:r w:rsidRPr="00102618">
              <w:rPr>
                <w:rFonts w:ascii="Garamond" w:hAnsi="Garamond"/>
                <w:b/>
                <w:bCs/>
                <w:color w:val="FFFFFF"/>
                <w:sz w:val="24"/>
                <w:szCs w:val="24"/>
              </w:rPr>
              <w:t>Attorney-Ready Note</w:t>
            </w:r>
          </w:p>
        </w:tc>
      </w:tr>
      <w:tr w:rsidR="00E3316C" w:rsidRPr="00102618" w14:paraId="11A63DB8" w14:textId="77777777">
        <w:tc>
          <w:tcPr>
            <w:tcW w:w="6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1A30B5B" w14:textId="77777777" w:rsidR="00E3316C" w:rsidRPr="00102618" w:rsidRDefault="00000000">
            <w:pPr>
              <w:rPr>
                <w:rFonts w:ascii="Garamond" w:hAnsi="Garamond"/>
                <w:sz w:val="24"/>
                <w:szCs w:val="24"/>
              </w:rPr>
            </w:pPr>
            <w:r w:rsidRPr="00102618">
              <w:rPr>
                <w:rFonts w:ascii="Garamond" w:hAnsi="Garamond"/>
                <w:sz w:val="24"/>
                <w:szCs w:val="24"/>
              </w:rPr>
              <w:t>Trauma, memory, and inconsistency</w:t>
            </w:r>
          </w:p>
        </w:tc>
        <w:tc>
          <w:tcPr>
            <w:tcW w:w="3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76F78B41" w14:textId="77777777" w:rsidR="00E3316C" w:rsidRPr="00102618" w:rsidRDefault="00000000">
            <w:pPr>
              <w:rPr>
                <w:rFonts w:ascii="Garamond" w:hAnsi="Garamond"/>
                <w:sz w:val="24"/>
                <w:szCs w:val="24"/>
              </w:rPr>
            </w:pPr>
            <w:r w:rsidRPr="00102618">
              <w:rPr>
                <w:rFonts w:ascii="Garamond" w:hAnsi="Garamond"/>
                <w:sz w:val="24"/>
                <w:szCs w:val="24"/>
              </w:rPr>
              <w:t>Repeated retellings can produce discrepancies without deception, particularly in peripheral details, and the risk of discrepancy increases as time passes and trauma symptoms remain high (Herlihy et al., 2002; Herlihy &amp; Turner, 2015).</w:t>
            </w:r>
          </w:p>
        </w:tc>
      </w:tr>
      <w:tr w:rsidR="00E3316C" w:rsidRPr="00102618" w14:paraId="100CE002" w14:textId="77777777">
        <w:tc>
          <w:tcPr>
            <w:tcW w:w="61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319A6E1F" w14:textId="77777777" w:rsidR="00E3316C" w:rsidRPr="00102618" w:rsidRDefault="00000000">
            <w:pPr>
              <w:rPr>
                <w:rFonts w:ascii="Garamond" w:hAnsi="Garamond"/>
                <w:sz w:val="24"/>
                <w:szCs w:val="24"/>
              </w:rPr>
            </w:pPr>
            <w:r w:rsidRPr="00102618">
              <w:rPr>
                <w:rFonts w:ascii="Garamond" w:hAnsi="Garamond"/>
                <w:sz w:val="24"/>
                <w:szCs w:val="24"/>
              </w:rPr>
              <w:t>Memory loss and chronology difficulty</w:t>
            </w:r>
          </w:p>
        </w:tc>
        <w:tc>
          <w:tcPr>
            <w:tcW w:w="32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0C7F7089" w14:textId="77777777" w:rsidR="00E3316C" w:rsidRPr="00102618" w:rsidRDefault="00000000">
            <w:pPr>
              <w:rPr>
                <w:rFonts w:ascii="Garamond" w:hAnsi="Garamond"/>
                <w:sz w:val="24"/>
                <w:szCs w:val="24"/>
              </w:rPr>
            </w:pPr>
            <w:r w:rsidRPr="00102618">
              <w:rPr>
                <w:rFonts w:ascii="Garamond" w:hAnsi="Garamond"/>
                <w:sz w:val="24"/>
                <w:szCs w:val="24"/>
              </w:rPr>
              <w:t>In U.S. medico-legal affidavits, memory loss was documented in a significant minority of asylum seekers and was associated with PTSD and depression rather than head trauma; memory difficulty often appeared as gaps, chronology problems, avoidance, and short-term interference (Saadi et al., 2021).</w:t>
            </w:r>
          </w:p>
        </w:tc>
      </w:tr>
      <w:tr w:rsidR="00E3316C" w:rsidRPr="00102618" w14:paraId="286D0D6B" w14:textId="77777777">
        <w:tc>
          <w:tcPr>
            <w:tcW w:w="6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8FA74F5" w14:textId="77777777" w:rsidR="00E3316C" w:rsidRPr="00102618" w:rsidRDefault="00000000">
            <w:pPr>
              <w:rPr>
                <w:rFonts w:ascii="Garamond" w:hAnsi="Garamond"/>
                <w:sz w:val="24"/>
                <w:szCs w:val="24"/>
              </w:rPr>
            </w:pPr>
            <w:proofErr w:type="spellStart"/>
            <w:r w:rsidRPr="00102618">
              <w:rPr>
                <w:rFonts w:ascii="Garamond" w:hAnsi="Garamond"/>
                <w:sz w:val="24"/>
                <w:szCs w:val="24"/>
              </w:rPr>
              <w:t>Overgeneral</w:t>
            </w:r>
            <w:proofErr w:type="spellEnd"/>
            <w:r w:rsidRPr="00102618">
              <w:rPr>
                <w:rFonts w:ascii="Garamond" w:hAnsi="Garamond"/>
                <w:sz w:val="24"/>
                <w:szCs w:val="24"/>
              </w:rPr>
              <w:t xml:space="preserve"> memory</w:t>
            </w:r>
          </w:p>
        </w:tc>
        <w:tc>
          <w:tcPr>
            <w:tcW w:w="3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1B65B8BE" w14:textId="77777777" w:rsidR="00E3316C" w:rsidRPr="00102618" w:rsidRDefault="00000000">
            <w:pPr>
              <w:rPr>
                <w:rFonts w:ascii="Garamond" w:hAnsi="Garamond"/>
                <w:sz w:val="24"/>
                <w:szCs w:val="24"/>
              </w:rPr>
            </w:pPr>
            <w:r w:rsidRPr="00102618">
              <w:rPr>
                <w:rFonts w:ascii="Garamond" w:hAnsi="Garamond"/>
                <w:sz w:val="24"/>
                <w:szCs w:val="24"/>
              </w:rPr>
              <w:t>Trauma-exposed refugees and asylum seekers may retrieve generalized rather than highly specific autobiographical memories, especially under stress, which means aggressive demands for granularity can worsen rather than improve narrative quality (Khan et al., 2021).</w:t>
            </w:r>
          </w:p>
        </w:tc>
      </w:tr>
      <w:tr w:rsidR="00E3316C" w:rsidRPr="00102618" w14:paraId="09CB9A3C" w14:textId="77777777">
        <w:tc>
          <w:tcPr>
            <w:tcW w:w="61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7AA884C7" w14:textId="77777777" w:rsidR="00E3316C" w:rsidRPr="00102618" w:rsidRDefault="00000000">
            <w:pPr>
              <w:rPr>
                <w:rFonts w:ascii="Garamond" w:hAnsi="Garamond"/>
                <w:sz w:val="24"/>
                <w:szCs w:val="24"/>
              </w:rPr>
            </w:pPr>
            <w:r w:rsidRPr="00102618">
              <w:rPr>
                <w:rFonts w:ascii="Garamond" w:hAnsi="Garamond"/>
                <w:sz w:val="24"/>
                <w:szCs w:val="24"/>
              </w:rPr>
              <w:t>Delayed disclosure of sexual violence</w:t>
            </w:r>
          </w:p>
        </w:tc>
        <w:tc>
          <w:tcPr>
            <w:tcW w:w="32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2DFACE5D" w14:textId="77777777" w:rsidR="00E3316C" w:rsidRPr="00102618" w:rsidRDefault="00000000">
            <w:pPr>
              <w:rPr>
                <w:rFonts w:ascii="Garamond" w:hAnsi="Garamond"/>
                <w:sz w:val="24"/>
                <w:szCs w:val="24"/>
              </w:rPr>
            </w:pPr>
            <w:r w:rsidRPr="00102618">
              <w:rPr>
                <w:rFonts w:ascii="Garamond" w:hAnsi="Garamond"/>
                <w:sz w:val="24"/>
                <w:szCs w:val="24"/>
              </w:rPr>
              <w:t xml:space="preserve">Delayed disclosure of sexual violence is strongly associated with shame, dissociation, and avoidance; it should not </w:t>
            </w:r>
            <w:r w:rsidRPr="00102618">
              <w:rPr>
                <w:rFonts w:ascii="Garamond" w:hAnsi="Garamond"/>
                <w:sz w:val="24"/>
                <w:szCs w:val="24"/>
              </w:rPr>
              <w:lastRenderedPageBreak/>
              <w:t>automatically be read as fabrication (</w:t>
            </w:r>
            <w:proofErr w:type="spellStart"/>
            <w:r w:rsidRPr="00102618">
              <w:rPr>
                <w:rFonts w:ascii="Garamond" w:hAnsi="Garamond"/>
                <w:sz w:val="24"/>
                <w:szCs w:val="24"/>
              </w:rPr>
              <w:t>Bögner</w:t>
            </w:r>
            <w:proofErr w:type="spellEnd"/>
            <w:r w:rsidRPr="00102618">
              <w:rPr>
                <w:rFonts w:ascii="Garamond" w:hAnsi="Garamond"/>
                <w:sz w:val="24"/>
                <w:szCs w:val="24"/>
              </w:rPr>
              <w:t xml:space="preserve"> et al., 2007).</w:t>
            </w:r>
          </w:p>
        </w:tc>
      </w:tr>
      <w:tr w:rsidR="00E3316C" w:rsidRPr="00102618" w14:paraId="3F45CB20" w14:textId="77777777">
        <w:tc>
          <w:tcPr>
            <w:tcW w:w="6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62E8981B" w14:textId="77777777" w:rsidR="00E3316C" w:rsidRPr="00102618" w:rsidRDefault="00000000">
            <w:pPr>
              <w:rPr>
                <w:rFonts w:ascii="Garamond" w:hAnsi="Garamond"/>
                <w:sz w:val="24"/>
                <w:szCs w:val="24"/>
              </w:rPr>
            </w:pPr>
            <w:r w:rsidRPr="00102618">
              <w:rPr>
                <w:rFonts w:ascii="Garamond" w:hAnsi="Garamond"/>
                <w:sz w:val="24"/>
                <w:szCs w:val="24"/>
              </w:rPr>
              <w:lastRenderedPageBreak/>
              <w:t>Enabled versus elicited disclosure</w:t>
            </w:r>
          </w:p>
        </w:tc>
        <w:tc>
          <w:tcPr>
            <w:tcW w:w="3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10203960" w14:textId="77777777" w:rsidR="00E3316C" w:rsidRPr="00102618" w:rsidRDefault="00000000">
            <w:pPr>
              <w:rPr>
                <w:rFonts w:ascii="Garamond" w:hAnsi="Garamond"/>
                <w:sz w:val="24"/>
                <w:szCs w:val="24"/>
              </w:rPr>
            </w:pPr>
            <w:r w:rsidRPr="00102618">
              <w:rPr>
                <w:rFonts w:ascii="Garamond" w:hAnsi="Garamond"/>
                <w:sz w:val="24"/>
                <w:szCs w:val="24"/>
              </w:rPr>
              <w:t xml:space="preserve">GBV disclosure may be safer and more accurate when it is enabled over time through relational safety rather than elicited aggressively at intake (Center for Human Rights, Gender and Migration at Washington University in St. Louis, Red Regional de </w:t>
            </w:r>
            <w:proofErr w:type="spellStart"/>
            <w:r w:rsidRPr="00102618">
              <w:rPr>
                <w:rFonts w:ascii="Garamond" w:hAnsi="Garamond"/>
                <w:sz w:val="24"/>
                <w:szCs w:val="24"/>
              </w:rPr>
              <w:t>Espacios</w:t>
            </w:r>
            <w:proofErr w:type="spellEnd"/>
            <w:r w:rsidRPr="00102618">
              <w:rPr>
                <w:rFonts w:ascii="Garamond" w:hAnsi="Garamond"/>
                <w:sz w:val="24"/>
                <w:szCs w:val="24"/>
              </w:rPr>
              <w:t xml:space="preserve"> Seguros, &amp; UNHCR, 2020).</w:t>
            </w:r>
          </w:p>
        </w:tc>
      </w:tr>
      <w:tr w:rsidR="00E3316C" w:rsidRPr="00102618" w14:paraId="62B193BF" w14:textId="77777777">
        <w:tc>
          <w:tcPr>
            <w:tcW w:w="61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738E6DC1" w14:textId="77777777" w:rsidR="00E3316C" w:rsidRPr="00102618" w:rsidRDefault="00000000">
            <w:pPr>
              <w:rPr>
                <w:rFonts w:ascii="Garamond" w:hAnsi="Garamond"/>
                <w:sz w:val="24"/>
                <w:szCs w:val="24"/>
              </w:rPr>
            </w:pPr>
            <w:r w:rsidRPr="00102618">
              <w:rPr>
                <w:rFonts w:ascii="Garamond" w:hAnsi="Garamond"/>
                <w:sz w:val="24"/>
                <w:szCs w:val="24"/>
              </w:rPr>
              <w:t>Language-dependent recall</w:t>
            </w:r>
          </w:p>
        </w:tc>
        <w:tc>
          <w:tcPr>
            <w:tcW w:w="32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3A156ADE" w14:textId="77777777" w:rsidR="00E3316C" w:rsidRPr="00102618" w:rsidRDefault="00000000">
            <w:pPr>
              <w:rPr>
                <w:rFonts w:ascii="Garamond" w:hAnsi="Garamond"/>
                <w:sz w:val="24"/>
                <w:szCs w:val="24"/>
              </w:rPr>
            </w:pPr>
            <w:r w:rsidRPr="00102618">
              <w:rPr>
                <w:rFonts w:ascii="Garamond" w:hAnsi="Garamond"/>
                <w:sz w:val="24"/>
                <w:szCs w:val="24"/>
              </w:rPr>
              <w:t>Language can shape which autobiographical memories are most accessible; changes in language context or interpreter mediation can affect what details are recalled and how they are expressed (Marian &amp; Neisser, 2000).</w:t>
            </w:r>
          </w:p>
        </w:tc>
      </w:tr>
      <w:tr w:rsidR="00E3316C" w:rsidRPr="00102618" w14:paraId="7B60C391" w14:textId="77777777">
        <w:tc>
          <w:tcPr>
            <w:tcW w:w="6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17E0311" w14:textId="77777777" w:rsidR="00E3316C" w:rsidRPr="00102618" w:rsidRDefault="00000000">
            <w:pPr>
              <w:rPr>
                <w:rFonts w:ascii="Garamond" w:hAnsi="Garamond"/>
                <w:sz w:val="24"/>
                <w:szCs w:val="24"/>
              </w:rPr>
            </w:pPr>
            <w:r w:rsidRPr="00102618">
              <w:rPr>
                <w:rFonts w:ascii="Garamond" w:hAnsi="Garamond"/>
                <w:sz w:val="24"/>
                <w:szCs w:val="24"/>
              </w:rPr>
              <w:t>Non-native speaker credibility penalty</w:t>
            </w:r>
          </w:p>
        </w:tc>
        <w:tc>
          <w:tcPr>
            <w:tcW w:w="3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6A48869A" w14:textId="77777777" w:rsidR="00E3316C" w:rsidRPr="00102618" w:rsidRDefault="00000000">
            <w:pPr>
              <w:rPr>
                <w:rFonts w:ascii="Garamond" w:hAnsi="Garamond"/>
                <w:sz w:val="24"/>
                <w:szCs w:val="24"/>
              </w:rPr>
            </w:pPr>
            <w:r w:rsidRPr="00102618">
              <w:rPr>
                <w:rFonts w:ascii="Garamond" w:hAnsi="Garamond"/>
                <w:sz w:val="24"/>
                <w:szCs w:val="24"/>
              </w:rPr>
              <w:t>Non-native speakers may be judged less credible even when they are similarly accurate, which means speech hesitation, low confidence, or reduced fluency should not be treated as a proxy for deceit (Raver et al., 2023).</w:t>
            </w:r>
          </w:p>
        </w:tc>
      </w:tr>
      <w:tr w:rsidR="00E3316C" w:rsidRPr="00102618" w14:paraId="62BD8A10" w14:textId="77777777">
        <w:tc>
          <w:tcPr>
            <w:tcW w:w="61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4A3B9B05" w14:textId="77777777" w:rsidR="00E3316C" w:rsidRPr="00102618" w:rsidRDefault="00000000">
            <w:pPr>
              <w:rPr>
                <w:rFonts w:ascii="Garamond" w:hAnsi="Garamond"/>
                <w:sz w:val="24"/>
                <w:szCs w:val="24"/>
              </w:rPr>
            </w:pPr>
            <w:r w:rsidRPr="00102618">
              <w:rPr>
                <w:rFonts w:ascii="Garamond" w:hAnsi="Garamond"/>
                <w:sz w:val="24"/>
                <w:szCs w:val="24"/>
              </w:rPr>
              <w:t>Interpreter-mediated distortion</w:t>
            </w:r>
          </w:p>
        </w:tc>
        <w:tc>
          <w:tcPr>
            <w:tcW w:w="32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6BB6E6B4" w14:textId="77777777" w:rsidR="00E3316C" w:rsidRPr="00102618" w:rsidRDefault="00000000">
            <w:pPr>
              <w:rPr>
                <w:rFonts w:ascii="Garamond" w:hAnsi="Garamond"/>
                <w:sz w:val="24"/>
                <w:szCs w:val="24"/>
              </w:rPr>
            </w:pPr>
            <w:r w:rsidRPr="00102618">
              <w:rPr>
                <w:rFonts w:ascii="Garamond" w:hAnsi="Garamond"/>
                <w:sz w:val="24"/>
                <w:szCs w:val="24"/>
              </w:rPr>
              <w:t xml:space="preserve">Interpreter "word accuracy" does not guarantee meaning accuracy; institutional jargon, cultural connotation, and summarization can all distort what ends up in the record (Ottosson et al., 2024; Mellinger &amp; </w:t>
            </w:r>
            <w:proofErr w:type="spellStart"/>
            <w:r w:rsidRPr="00102618">
              <w:rPr>
                <w:rFonts w:ascii="Garamond" w:hAnsi="Garamond"/>
                <w:sz w:val="24"/>
                <w:szCs w:val="24"/>
              </w:rPr>
              <w:t>Dadhania</w:t>
            </w:r>
            <w:proofErr w:type="spellEnd"/>
            <w:r w:rsidRPr="00102618">
              <w:rPr>
                <w:rFonts w:ascii="Garamond" w:hAnsi="Garamond"/>
                <w:sz w:val="24"/>
                <w:szCs w:val="24"/>
              </w:rPr>
              <w:t>, 2025).</w:t>
            </w:r>
          </w:p>
        </w:tc>
      </w:tr>
      <w:tr w:rsidR="00E3316C" w:rsidRPr="00102618" w14:paraId="24EDF843" w14:textId="77777777">
        <w:tc>
          <w:tcPr>
            <w:tcW w:w="6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1C667FA0" w14:textId="77777777" w:rsidR="00E3316C" w:rsidRPr="00102618" w:rsidRDefault="00000000">
            <w:pPr>
              <w:rPr>
                <w:rFonts w:ascii="Garamond" w:hAnsi="Garamond"/>
                <w:sz w:val="24"/>
                <w:szCs w:val="24"/>
              </w:rPr>
            </w:pPr>
            <w:r w:rsidRPr="00102618">
              <w:rPr>
                <w:rFonts w:ascii="Garamond" w:hAnsi="Garamond"/>
                <w:sz w:val="24"/>
                <w:szCs w:val="24"/>
              </w:rPr>
              <w:t>Holistic credibility assessment</w:t>
            </w:r>
          </w:p>
        </w:tc>
        <w:tc>
          <w:tcPr>
            <w:tcW w:w="3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33AE19D" w14:textId="77777777" w:rsidR="00E3316C" w:rsidRPr="00102618" w:rsidRDefault="00000000">
            <w:pPr>
              <w:rPr>
                <w:rFonts w:ascii="Garamond" w:hAnsi="Garamond"/>
                <w:sz w:val="24"/>
                <w:szCs w:val="24"/>
              </w:rPr>
            </w:pPr>
            <w:r w:rsidRPr="00102618">
              <w:rPr>
                <w:rFonts w:ascii="Garamond" w:hAnsi="Garamond"/>
                <w:sz w:val="24"/>
                <w:szCs w:val="24"/>
              </w:rPr>
              <w:t xml:space="preserve">Credibility assessment should be context-sensitive and should account for personal circumstances that affect how evidence is provided, including </w:t>
            </w:r>
            <w:r w:rsidRPr="00102618">
              <w:rPr>
                <w:rFonts w:ascii="Garamond" w:hAnsi="Garamond"/>
                <w:sz w:val="24"/>
                <w:szCs w:val="24"/>
              </w:rPr>
              <w:lastRenderedPageBreak/>
              <w:t>mental health, education, age, language, and other distortion factors (European Union Agency for Asylum, 2024; UNHCR, 2013).</w:t>
            </w:r>
          </w:p>
        </w:tc>
      </w:tr>
    </w:tbl>
    <w:p w14:paraId="5859ECF8" w14:textId="77777777" w:rsidR="00E3316C" w:rsidRPr="00102618" w:rsidRDefault="00000000">
      <w:pPr>
        <w:rPr>
          <w:rFonts w:ascii="Garamond" w:hAnsi="Garamond"/>
          <w:sz w:val="24"/>
          <w:szCs w:val="24"/>
        </w:rPr>
      </w:pPr>
      <w:r w:rsidRPr="00102618">
        <w:rPr>
          <w:rFonts w:ascii="Garamond" w:hAnsi="Garamond"/>
          <w:sz w:val="24"/>
          <w:szCs w:val="24"/>
        </w:rPr>
        <w:lastRenderedPageBreak/>
        <w:br w:type="page"/>
      </w:r>
    </w:p>
    <w:p w14:paraId="0CE4BCA4" w14:textId="77777777" w:rsidR="00E3316C" w:rsidRPr="00102618" w:rsidRDefault="00000000">
      <w:pPr>
        <w:pStyle w:val="Heading1"/>
        <w:shd w:val="clear" w:color="auto" w:fill="1F3864"/>
        <w:ind w:left="140"/>
        <w:rPr>
          <w:rFonts w:ascii="Garamond" w:hAnsi="Garamond"/>
          <w:sz w:val="24"/>
          <w:szCs w:val="24"/>
        </w:rPr>
      </w:pPr>
      <w:r w:rsidRPr="00102618">
        <w:rPr>
          <w:rFonts w:ascii="Garamond" w:hAnsi="Garamond"/>
          <w:sz w:val="24"/>
          <w:szCs w:val="24"/>
        </w:rPr>
        <w:lastRenderedPageBreak/>
        <w:t>PART IV: CASE CLOSURE</w:t>
      </w:r>
    </w:p>
    <w:p w14:paraId="3E258B30" w14:textId="77777777" w:rsidR="00E3316C" w:rsidRPr="00B72171" w:rsidRDefault="00000000">
      <w:pPr>
        <w:pStyle w:val="Heading2"/>
        <w:pBdr>
          <w:bottom w:val="single" w:sz="6" w:space="1" w:color="2E75B6"/>
        </w:pBdr>
        <w:rPr>
          <w:rFonts w:ascii="Garamond" w:hAnsi="Garamond"/>
          <w:color w:val="000000" w:themeColor="text1"/>
          <w:sz w:val="24"/>
          <w:szCs w:val="24"/>
        </w:rPr>
      </w:pPr>
      <w:r w:rsidRPr="00B72171">
        <w:rPr>
          <w:rFonts w:ascii="Garamond" w:hAnsi="Garamond"/>
          <w:color w:val="000000" w:themeColor="text1"/>
          <w:sz w:val="24"/>
          <w:szCs w:val="24"/>
        </w:rPr>
        <w:t>Section 15. Next Steps After Filing, Interview Prep, and Case Closure</w:t>
      </w:r>
    </w:p>
    <w:p w14:paraId="41597F56" w14:textId="77777777" w:rsidR="00E3316C" w:rsidRPr="00B72171" w:rsidRDefault="00000000">
      <w:pPr>
        <w:spacing w:after="120"/>
        <w:rPr>
          <w:rFonts w:ascii="Garamond" w:hAnsi="Garamond"/>
          <w:color w:val="000000" w:themeColor="text1"/>
          <w:sz w:val="24"/>
          <w:szCs w:val="24"/>
        </w:rPr>
      </w:pPr>
      <w:r w:rsidRPr="00B72171">
        <w:rPr>
          <w:rFonts w:ascii="Garamond" w:hAnsi="Garamond"/>
          <w:color w:val="000000" w:themeColor="text1"/>
          <w:sz w:val="24"/>
          <w:szCs w:val="24"/>
        </w:rPr>
        <w:t>Case closure is not an afterthought—it is a critical transition point that shapes whether the client leaves with a clear plan, whether outstanding items are tracked, and whether the practitioner has discharged their ethical obligations around scope of representation and referral. This section borrows the practical ending logic of attorney-facing asylum toolkits: after the narrative is built, practitioners still need a filing-ready package, a structured interview-prep process, and a closing checklist so the case does not end in confusion or unresolved commitments (American Bar Association Commission on Immigration &amp; HIAS, 2022). Each tool below is usable independently in time-limited settings.</w:t>
      </w:r>
    </w:p>
    <w:p w14:paraId="2176EA59" w14:textId="77777777" w:rsidR="00E3316C" w:rsidRPr="00B72171" w:rsidRDefault="00E3316C">
      <w:pPr>
        <w:spacing w:before="60" w:after="60"/>
        <w:rPr>
          <w:rFonts w:ascii="Garamond" w:hAnsi="Garamond"/>
          <w:color w:val="000000" w:themeColor="text1"/>
          <w:sz w:val="24"/>
          <w:szCs w:val="24"/>
        </w:rPr>
      </w:pPr>
    </w:p>
    <w:p w14:paraId="6A092595" w14:textId="77777777" w:rsidR="00E3316C" w:rsidRPr="00B72171" w:rsidRDefault="00000000">
      <w:pPr>
        <w:pStyle w:val="Heading3"/>
        <w:rPr>
          <w:rFonts w:ascii="Garamond" w:hAnsi="Garamond"/>
          <w:color w:val="000000" w:themeColor="text1"/>
          <w:sz w:val="24"/>
          <w:szCs w:val="24"/>
        </w:rPr>
      </w:pPr>
      <w:r w:rsidRPr="00B72171">
        <w:rPr>
          <w:rFonts w:ascii="Garamond" w:hAnsi="Garamond"/>
          <w:color w:val="000000" w:themeColor="text1"/>
          <w:sz w:val="24"/>
          <w:szCs w:val="24"/>
        </w:rPr>
        <w:t>15A.  Filing Readiness Checklist</w:t>
      </w:r>
    </w:p>
    <w:p w14:paraId="7BF3A961" w14:textId="77777777" w:rsidR="00E3316C" w:rsidRPr="00B72171" w:rsidRDefault="00000000">
      <w:pPr>
        <w:spacing w:after="60"/>
        <w:ind w:left="360" w:hanging="360"/>
        <w:rPr>
          <w:rFonts w:ascii="Garamond" w:hAnsi="Garamond"/>
          <w:color w:val="000000" w:themeColor="text1"/>
          <w:sz w:val="24"/>
          <w:szCs w:val="24"/>
        </w:rPr>
      </w:pPr>
      <w:proofErr w:type="gramStart"/>
      <w:r w:rsidRPr="00B72171">
        <w:rPr>
          <w:rFonts w:ascii="Segoe UI Symbol" w:hAnsi="Segoe UI Symbol" w:cs="Segoe UI Symbol"/>
          <w:color w:val="000000" w:themeColor="text1"/>
          <w:sz w:val="24"/>
          <w:szCs w:val="24"/>
        </w:rPr>
        <w:t>☐</w:t>
      </w:r>
      <w:r w:rsidRPr="00B72171">
        <w:rPr>
          <w:rFonts w:ascii="Garamond" w:hAnsi="Garamond"/>
          <w:color w:val="000000" w:themeColor="text1"/>
          <w:sz w:val="24"/>
          <w:szCs w:val="24"/>
        </w:rPr>
        <w:t xml:space="preserve">  Client</w:t>
      </w:r>
      <w:proofErr w:type="gramEnd"/>
      <w:r w:rsidRPr="00B72171">
        <w:rPr>
          <w:rFonts w:ascii="Garamond" w:hAnsi="Garamond"/>
          <w:color w:val="000000" w:themeColor="text1"/>
          <w:sz w:val="24"/>
          <w:szCs w:val="24"/>
        </w:rPr>
        <w:t xml:space="preserve"> has reviewed the declaration and understands the main structure.</w:t>
      </w:r>
    </w:p>
    <w:p w14:paraId="4DB5EFCA" w14:textId="77777777" w:rsidR="00E3316C" w:rsidRPr="00B72171" w:rsidRDefault="00000000">
      <w:pPr>
        <w:spacing w:after="60"/>
        <w:ind w:left="360" w:hanging="360"/>
        <w:rPr>
          <w:rFonts w:ascii="Garamond" w:hAnsi="Garamond"/>
          <w:color w:val="000000" w:themeColor="text1"/>
          <w:sz w:val="24"/>
          <w:szCs w:val="24"/>
        </w:rPr>
      </w:pPr>
      <w:proofErr w:type="gramStart"/>
      <w:r w:rsidRPr="00B72171">
        <w:rPr>
          <w:rFonts w:ascii="Segoe UI Symbol" w:hAnsi="Segoe UI Symbol" w:cs="Segoe UI Symbol"/>
          <w:color w:val="000000" w:themeColor="text1"/>
          <w:sz w:val="24"/>
          <w:szCs w:val="24"/>
        </w:rPr>
        <w:t>☐</w:t>
      </w:r>
      <w:r w:rsidRPr="00B72171">
        <w:rPr>
          <w:rFonts w:ascii="Garamond" w:hAnsi="Garamond"/>
          <w:color w:val="000000" w:themeColor="text1"/>
          <w:sz w:val="24"/>
          <w:szCs w:val="24"/>
        </w:rPr>
        <w:t xml:space="preserve">  Core</w:t>
      </w:r>
      <w:proofErr w:type="gramEnd"/>
      <w:r w:rsidRPr="00B72171">
        <w:rPr>
          <w:rFonts w:ascii="Garamond" w:hAnsi="Garamond"/>
          <w:color w:val="000000" w:themeColor="text1"/>
          <w:sz w:val="24"/>
          <w:szCs w:val="24"/>
        </w:rPr>
        <w:t xml:space="preserve"> claim elements are visible: protected ground, harm/threat, persecutor, state protection issue, relocation issue, current fear.</w:t>
      </w:r>
    </w:p>
    <w:p w14:paraId="57BCF478" w14:textId="77777777" w:rsidR="00E3316C" w:rsidRPr="00B72171" w:rsidRDefault="00000000">
      <w:pPr>
        <w:spacing w:after="60"/>
        <w:ind w:left="360" w:hanging="360"/>
        <w:rPr>
          <w:rFonts w:ascii="Garamond" w:hAnsi="Garamond"/>
          <w:color w:val="000000" w:themeColor="text1"/>
          <w:sz w:val="24"/>
          <w:szCs w:val="24"/>
        </w:rPr>
      </w:pPr>
      <w:proofErr w:type="gramStart"/>
      <w:r w:rsidRPr="00B72171">
        <w:rPr>
          <w:rFonts w:ascii="Segoe UI Symbol" w:hAnsi="Segoe UI Symbol" w:cs="Segoe UI Symbol"/>
          <w:color w:val="000000" w:themeColor="text1"/>
          <w:sz w:val="24"/>
          <w:szCs w:val="24"/>
        </w:rPr>
        <w:t>☐</w:t>
      </w:r>
      <w:r w:rsidRPr="00B72171">
        <w:rPr>
          <w:rFonts w:ascii="Garamond" w:hAnsi="Garamond"/>
          <w:color w:val="000000" w:themeColor="text1"/>
          <w:sz w:val="24"/>
          <w:szCs w:val="24"/>
        </w:rPr>
        <w:t xml:space="preserve">  Exhibit</w:t>
      </w:r>
      <w:proofErr w:type="gramEnd"/>
      <w:r w:rsidRPr="00B72171">
        <w:rPr>
          <w:rFonts w:ascii="Garamond" w:hAnsi="Garamond"/>
          <w:color w:val="000000" w:themeColor="text1"/>
          <w:sz w:val="24"/>
          <w:szCs w:val="24"/>
        </w:rPr>
        <w:t xml:space="preserve"> list is complete enough to file, with translation needs identified.</w:t>
      </w:r>
    </w:p>
    <w:p w14:paraId="06FB8281" w14:textId="77777777" w:rsidR="00E3316C" w:rsidRPr="00B72171" w:rsidRDefault="00000000">
      <w:pPr>
        <w:spacing w:after="60"/>
        <w:ind w:left="360" w:hanging="360"/>
        <w:rPr>
          <w:rFonts w:ascii="Garamond" w:hAnsi="Garamond"/>
          <w:color w:val="000000" w:themeColor="text1"/>
          <w:sz w:val="24"/>
          <w:szCs w:val="24"/>
        </w:rPr>
      </w:pPr>
      <w:proofErr w:type="gramStart"/>
      <w:r w:rsidRPr="00B72171">
        <w:rPr>
          <w:rFonts w:ascii="Segoe UI Symbol" w:hAnsi="Segoe UI Symbol" w:cs="Segoe UI Symbol"/>
          <w:color w:val="000000" w:themeColor="text1"/>
          <w:sz w:val="24"/>
          <w:szCs w:val="24"/>
        </w:rPr>
        <w:t>☐</w:t>
      </w:r>
      <w:r w:rsidRPr="00B72171">
        <w:rPr>
          <w:rFonts w:ascii="Garamond" w:hAnsi="Garamond"/>
          <w:color w:val="000000" w:themeColor="text1"/>
          <w:sz w:val="24"/>
          <w:szCs w:val="24"/>
        </w:rPr>
        <w:t xml:space="preserve">  Client</w:t>
      </w:r>
      <w:proofErr w:type="gramEnd"/>
      <w:r w:rsidRPr="00B72171">
        <w:rPr>
          <w:rFonts w:ascii="Garamond" w:hAnsi="Garamond"/>
          <w:color w:val="000000" w:themeColor="text1"/>
          <w:sz w:val="24"/>
          <w:szCs w:val="24"/>
        </w:rPr>
        <w:t xml:space="preserve"> has copies—or knows when copies will be provided—of major filing components.</w:t>
      </w:r>
    </w:p>
    <w:p w14:paraId="79CA3958" w14:textId="77777777" w:rsidR="00E3316C" w:rsidRPr="00B72171" w:rsidRDefault="00000000">
      <w:pPr>
        <w:spacing w:after="60"/>
        <w:ind w:left="360" w:hanging="360"/>
        <w:rPr>
          <w:rFonts w:ascii="Garamond" w:hAnsi="Garamond"/>
          <w:color w:val="000000" w:themeColor="text1"/>
          <w:sz w:val="24"/>
          <w:szCs w:val="24"/>
        </w:rPr>
      </w:pPr>
      <w:proofErr w:type="gramStart"/>
      <w:r w:rsidRPr="00B72171">
        <w:rPr>
          <w:rFonts w:ascii="Segoe UI Symbol" w:hAnsi="Segoe UI Symbol" w:cs="Segoe UI Symbol"/>
          <w:color w:val="000000" w:themeColor="text1"/>
          <w:sz w:val="24"/>
          <w:szCs w:val="24"/>
        </w:rPr>
        <w:t>☐</w:t>
      </w:r>
      <w:r w:rsidRPr="00B72171">
        <w:rPr>
          <w:rFonts w:ascii="Garamond" w:hAnsi="Garamond"/>
          <w:color w:val="000000" w:themeColor="text1"/>
          <w:sz w:val="24"/>
          <w:szCs w:val="24"/>
        </w:rPr>
        <w:t xml:space="preserve">  Any</w:t>
      </w:r>
      <w:proofErr w:type="gramEnd"/>
      <w:r w:rsidRPr="00B72171">
        <w:rPr>
          <w:rFonts w:ascii="Garamond" w:hAnsi="Garamond"/>
          <w:color w:val="000000" w:themeColor="text1"/>
          <w:sz w:val="24"/>
          <w:szCs w:val="24"/>
        </w:rPr>
        <w:t xml:space="preserve"> one-year-deadline or timeliness issue has been identified and documented.</w:t>
      </w:r>
    </w:p>
    <w:p w14:paraId="5E06E4CB" w14:textId="77777777" w:rsidR="00E3316C" w:rsidRPr="00B72171" w:rsidRDefault="00E3316C">
      <w:pPr>
        <w:spacing w:before="60" w:after="60"/>
        <w:rPr>
          <w:rFonts w:ascii="Garamond" w:hAnsi="Garamond"/>
          <w:color w:val="000000" w:themeColor="text1"/>
          <w:sz w:val="24"/>
          <w:szCs w:val="24"/>
        </w:rPr>
      </w:pPr>
    </w:p>
    <w:p w14:paraId="49843B4D" w14:textId="77777777" w:rsidR="00E3316C" w:rsidRPr="00B72171" w:rsidRDefault="00000000">
      <w:pPr>
        <w:pStyle w:val="Heading3"/>
        <w:rPr>
          <w:rFonts w:ascii="Garamond" w:hAnsi="Garamond"/>
          <w:color w:val="000000" w:themeColor="text1"/>
          <w:sz w:val="24"/>
          <w:szCs w:val="24"/>
        </w:rPr>
      </w:pPr>
      <w:r w:rsidRPr="00B72171">
        <w:rPr>
          <w:rFonts w:ascii="Garamond" w:hAnsi="Garamond"/>
          <w:color w:val="000000" w:themeColor="text1"/>
          <w:sz w:val="24"/>
          <w:szCs w:val="24"/>
        </w:rPr>
        <w:t>15B.  Interview Prep Checklist</w:t>
      </w:r>
    </w:p>
    <w:p w14:paraId="70E3E6F7" w14:textId="77777777" w:rsidR="00E3316C" w:rsidRPr="00B72171" w:rsidRDefault="00000000">
      <w:pPr>
        <w:spacing w:after="60"/>
        <w:ind w:left="360" w:hanging="360"/>
        <w:rPr>
          <w:rFonts w:ascii="Garamond" w:hAnsi="Garamond"/>
          <w:color w:val="000000" w:themeColor="text1"/>
          <w:sz w:val="24"/>
          <w:szCs w:val="24"/>
        </w:rPr>
      </w:pPr>
      <w:proofErr w:type="gramStart"/>
      <w:r w:rsidRPr="00B72171">
        <w:rPr>
          <w:rFonts w:ascii="Segoe UI Symbol" w:hAnsi="Segoe UI Symbol" w:cs="Segoe UI Symbol"/>
          <w:color w:val="000000" w:themeColor="text1"/>
          <w:sz w:val="24"/>
          <w:szCs w:val="24"/>
        </w:rPr>
        <w:t>☐</w:t>
      </w:r>
      <w:r w:rsidRPr="00B72171">
        <w:rPr>
          <w:rFonts w:ascii="Garamond" w:hAnsi="Garamond"/>
          <w:color w:val="000000" w:themeColor="text1"/>
          <w:sz w:val="24"/>
          <w:szCs w:val="24"/>
        </w:rPr>
        <w:t xml:space="preserve">  Review</w:t>
      </w:r>
      <w:proofErr w:type="gramEnd"/>
      <w:r w:rsidRPr="00B72171">
        <w:rPr>
          <w:rFonts w:ascii="Garamond" w:hAnsi="Garamond"/>
          <w:color w:val="000000" w:themeColor="text1"/>
          <w:sz w:val="24"/>
          <w:szCs w:val="24"/>
        </w:rPr>
        <w:t xml:space="preserve"> the basic structure of the claim in plain language.</w:t>
      </w:r>
    </w:p>
    <w:p w14:paraId="72208471" w14:textId="77777777" w:rsidR="00E3316C" w:rsidRPr="00B72171" w:rsidRDefault="00000000">
      <w:pPr>
        <w:spacing w:after="60"/>
        <w:ind w:left="360" w:hanging="360"/>
        <w:rPr>
          <w:rFonts w:ascii="Garamond" w:hAnsi="Garamond"/>
          <w:color w:val="000000" w:themeColor="text1"/>
          <w:sz w:val="24"/>
          <w:szCs w:val="24"/>
        </w:rPr>
      </w:pPr>
      <w:proofErr w:type="gramStart"/>
      <w:r w:rsidRPr="00B72171">
        <w:rPr>
          <w:rFonts w:ascii="Segoe UI Symbol" w:hAnsi="Segoe UI Symbol" w:cs="Segoe UI Symbol"/>
          <w:color w:val="000000" w:themeColor="text1"/>
          <w:sz w:val="24"/>
          <w:szCs w:val="24"/>
        </w:rPr>
        <w:t>☐</w:t>
      </w:r>
      <w:r w:rsidRPr="00B72171">
        <w:rPr>
          <w:rFonts w:ascii="Garamond" w:hAnsi="Garamond"/>
          <w:color w:val="000000" w:themeColor="text1"/>
          <w:sz w:val="24"/>
          <w:szCs w:val="24"/>
        </w:rPr>
        <w:t xml:space="preserve">  Practice</w:t>
      </w:r>
      <w:proofErr w:type="gramEnd"/>
      <w:r w:rsidRPr="00B72171">
        <w:rPr>
          <w:rFonts w:ascii="Garamond" w:hAnsi="Garamond"/>
          <w:color w:val="000000" w:themeColor="text1"/>
          <w:sz w:val="24"/>
          <w:szCs w:val="24"/>
        </w:rPr>
        <w:t xml:space="preserve"> saying "I do not know" or "I do not remember exactly" rather than guessing.</w:t>
      </w:r>
    </w:p>
    <w:p w14:paraId="6485E6D9" w14:textId="77777777" w:rsidR="00E3316C" w:rsidRPr="00B72171" w:rsidRDefault="00000000">
      <w:pPr>
        <w:spacing w:after="60"/>
        <w:ind w:left="360" w:hanging="360"/>
        <w:rPr>
          <w:rFonts w:ascii="Garamond" w:hAnsi="Garamond"/>
          <w:color w:val="000000" w:themeColor="text1"/>
          <w:sz w:val="24"/>
          <w:szCs w:val="24"/>
        </w:rPr>
      </w:pPr>
      <w:proofErr w:type="gramStart"/>
      <w:r w:rsidRPr="00B72171">
        <w:rPr>
          <w:rFonts w:ascii="Segoe UI Symbol" w:hAnsi="Segoe UI Symbol" w:cs="Segoe UI Symbol"/>
          <w:color w:val="000000" w:themeColor="text1"/>
          <w:sz w:val="24"/>
          <w:szCs w:val="24"/>
        </w:rPr>
        <w:t>☐</w:t>
      </w:r>
      <w:r w:rsidRPr="00B72171">
        <w:rPr>
          <w:rFonts w:ascii="Garamond" w:hAnsi="Garamond"/>
          <w:color w:val="000000" w:themeColor="text1"/>
          <w:sz w:val="24"/>
          <w:szCs w:val="24"/>
        </w:rPr>
        <w:t xml:space="preserve">  Review</w:t>
      </w:r>
      <w:proofErr w:type="gramEnd"/>
      <w:r w:rsidRPr="00B72171">
        <w:rPr>
          <w:rFonts w:ascii="Garamond" w:hAnsi="Garamond"/>
          <w:color w:val="000000" w:themeColor="text1"/>
          <w:sz w:val="24"/>
          <w:szCs w:val="24"/>
        </w:rPr>
        <w:t xml:space="preserve"> how to ask for clarification, a break, or interpreter correction.</w:t>
      </w:r>
    </w:p>
    <w:p w14:paraId="7FF60026" w14:textId="77777777" w:rsidR="00E3316C" w:rsidRPr="00B72171" w:rsidRDefault="00000000">
      <w:pPr>
        <w:spacing w:after="60"/>
        <w:ind w:left="360" w:hanging="360"/>
        <w:rPr>
          <w:rFonts w:ascii="Garamond" w:hAnsi="Garamond"/>
          <w:color w:val="000000" w:themeColor="text1"/>
          <w:sz w:val="24"/>
          <w:szCs w:val="24"/>
        </w:rPr>
      </w:pPr>
      <w:proofErr w:type="gramStart"/>
      <w:r w:rsidRPr="00B72171">
        <w:rPr>
          <w:rFonts w:ascii="Segoe UI Symbol" w:hAnsi="Segoe UI Symbol" w:cs="Segoe UI Symbol"/>
          <w:color w:val="000000" w:themeColor="text1"/>
          <w:sz w:val="24"/>
          <w:szCs w:val="24"/>
        </w:rPr>
        <w:t>☐</w:t>
      </w:r>
      <w:r w:rsidRPr="00B72171">
        <w:rPr>
          <w:rFonts w:ascii="Garamond" w:hAnsi="Garamond"/>
          <w:color w:val="000000" w:themeColor="text1"/>
          <w:sz w:val="24"/>
          <w:szCs w:val="24"/>
        </w:rPr>
        <w:t xml:space="preserve">  Clarify</w:t>
      </w:r>
      <w:proofErr w:type="gramEnd"/>
      <w:r w:rsidRPr="00B72171">
        <w:rPr>
          <w:rFonts w:ascii="Garamond" w:hAnsi="Garamond"/>
          <w:color w:val="000000" w:themeColor="text1"/>
          <w:sz w:val="24"/>
          <w:szCs w:val="24"/>
        </w:rPr>
        <w:t xml:space="preserve"> that affect, tears, flatness, or confusion do not have to be "performed" a certain way.</w:t>
      </w:r>
    </w:p>
    <w:p w14:paraId="1B70B289" w14:textId="77777777" w:rsidR="00E3316C" w:rsidRPr="00B72171" w:rsidRDefault="00000000">
      <w:pPr>
        <w:spacing w:after="60"/>
        <w:ind w:left="360" w:hanging="360"/>
        <w:rPr>
          <w:rFonts w:ascii="Garamond" w:hAnsi="Garamond"/>
          <w:color w:val="000000" w:themeColor="text1"/>
          <w:sz w:val="24"/>
          <w:szCs w:val="24"/>
        </w:rPr>
      </w:pPr>
      <w:proofErr w:type="gramStart"/>
      <w:r w:rsidRPr="00B72171">
        <w:rPr>
          <w:rFonts w:ascii="Segoe UI Symbol" w:hAnsi="Segoe UI Symbol" w:cs="Segoe UI Symbol"/>
          <w:color w:val="000000" w:themeColor="text1"/>
          <w:sz w:val="24"/>
          <w:szCs w:val="24"/>
        </w:rPr>
        <w:t>☐</w:t>
      </w:r>
      <w:r w:rsidRPr="00B72171">
        <w:rPr>
          <w:rFonts w:ascii="Garamond" w:hAnsi="Garamond"/>
          <w:color w:val="000000" w:themeColor="text1"/>
          <w:sz w:val="24"/>
          <w:szCs w:val="24"/>
        </w:rPr>
        <w:t xml:space="preserve">  Identify</w:t>
      </w:r>
      <w:proofErr w:type="gramEnd"/>
      <w:r w:rsidRPr="00B72171">
        <w:rPr>
          <w:rFonts w:ascii="Garamond" w:hAnsi="Garamond"/>
          <w:color w:val="000000" w:themeColor="text1"/>
          <w:sz w:val="24"/>
          <w:szCs w:val="24"/>
        </w:rPr>
        <w:t xml:space="preserve"> high-risk topics and </w:t>
      </w:r>
      <w:proofErr w:type="gramStart"/>
      <w:r w:rsidRPr="00B72171">
        <w:rPr>
          <w:rFonts w:ascii="Garamond" w:hAnsi="Garamond"/>
          <w:color w:val="000000" w:themeColor="text1"/>
          <w:sz w:val="24"/>
          <w:szCs w:val="24"/>
        </w:rPr>
        <w:t>make a plan</w:t>
      </w:r>
      <w:proofErr w:type="gramEnd"/>
      <w:r w:rsidRPr="00B72171">
        <w:rPr>
          <w:rFonts w:ascii="Garamond" w:hAnsi="Garamond"/>
          <w:color w:val="000000" w:themeColor="text1"/>
          <w:sz w:val="24"/>
          <w:szCs w:val="24"/>
        </w:rPr>
        <w:t xml:space="preserve"> for pacing them.</w:t>
      </w:r>
    </w:p>
    <w:p w14:paraId="4D7DE77E" w14:textId="77777777" w:rsidR="00E3316C" w:rsidRPr="00B72171" w:rsidRDefault="00E3316C">
      <w:pPr>
        <w:spacing w:before="60" w:after="60"/>
        <w:rPr>
          <w:rFonts w:ascii="Garamond" w:hAnsi="Garamond"/>
          <w:color w:val="000000" w:themeColor="text1"/>
          <w:sz w:val="24"/>
          <w:szCs w:val="24"/>
        </w:rPr>
      </w:pPr>
    </w:p>
    <w:p w14:paraId="7226AFAD" w14:textId="77777777" w:rsidR="00E3316C" w:rsidRPr="00B72171" w:rsidRDefault="00000000">
      <w:pPr>
        <w:pStyle w:val="Heading3"/>
        <w:rPr>
          <w:rFonts w:ascii="Garamond" w:hAnsi="Garamond"/>
          <w:color w:val="000000" w:themeColor="text1"/>
          <w:sz w:val="24"/>
          <w:szCs w:val="24"/>
        </w:rPr>
      </w:pPr>
      <w:r w:rsidRPr="00B72171">
        <w:rPr>
          <w:rFonts w:ascii="Garamond" w:hAnsi="Garamond"/>
          <w:color w:val="000000" w:themeColor="text1"/>
          <w:sz w:val="24"/>
          <w:szCs w:val="24"/>
        </w:rPr>
        <w:t>15C.  Before You Close: Limited-Scope Closure Checklist</w:t>
      </w:r>
    </w:p>
    <w:p w14:paraId="512E770F" w14:textId="77777777" w:rsidR="00E3316C" w:rsidRPr="00B72171" w:rsidRDefault="00000000">
      <w:pPr>
        <w:spacing w:after="60"/>
        <w:ind w:left="360" w:hanging="360"/>
        <w:rPr>
          <w:rFonts w:ascii="Garamond" w:hAnsi="Garamond"/>
          <w:color w:val="000000" w:themeColor="text1"/>
          <w:sz w:val="24"/>
          <w:szCs w:val="24"/>
        </w:rPr>
      </w:pPr>
      <w:proofErr w:type="gramStart"/>
      <w:r w:rsidRPr="00B72171">
        <w:rPr>
          <w:rFonts w:ascii="Segoe UI Symbol" w:hAnsi="Segoe UI Symbol" w:cs="Segoe UI Symbol"/>
          <w:color w:val="000000" w:themeColor="text1"/>
          <w:sz w:val="24"/>
          <w:szCs w:val="24"/>
        </w:rPr>
        <w:t>☐</w:t>
      </w:r>
      <w:r w:rsidRPr="00B72171">
        <w:rPr>
          <w:rFonts w:ascii="Garamond" w:hAnsi="Garamond"/>
          <w:color w:val="000000" w:themeColor="text1"/>
          <w:sz w:val="24"/>
          <w:szCs w:val="24"/>
        </w:rPr>
        <w:t xml:space="preserve">  Provide</w:t>
      </w:r>
      <w:proofErr w:type="gramEnd"/>
      <w:r w:rsidRPr="00B72171">
        <w:rPr>
          <w:rFonts w:ascii="Garamond" w:hAnsi="Garamond"/>
          <w:color w:val="000000" w:themeColor="text1"/>
          <w:sz w:val="24"/>
          <w:szCs w:val="24"/>
        </w:rPr>
        <w:t xml:space="preserve"> the client with paper and/or electronic copies of the filing package where appropriate.</w:t>
      </w:r>
    </w:p>
    <w:p w14:paraId="7E9A53FC" w14:textId="77777777" w:rsidR="00E3316C" w:rsidRPr="00B72171" w:rsidRDefault="00000000">
      <w:pPr>
        <w:spacing w:after="60"/>
        <w:ind w:left="360" w:hanging="360"/>
        <w:rPr>
          <w:rFonts w:ascii="Garamond" w:hAnsi="Garamond"/>
          <w:color w:val="000000" w:themeColor="text1"/>
          <w:sz w:val="24"/>
          <w:szCs w:val="24"/>
        </w:rPr>
      </w:pPr>
      <w:proofErr w:type="gramStart"/>
      <w:r w:rsidRPr="00B72171">
        <w:rPr>
          <w:rFonts w:ascii="Segoe UI Symbol" w:hAnsi="Segoe UI Symbol" w:cs="Segoe UI Symbol"/>
          <w:color w:val="000000" w:themeColor="text1"/>
          <w:sz w:val="24"/>
          <w:szCs w:val="24"/>
        </w:rPr>
        <w:t>☐</w:t>
      </w:r>
      <w:r w:rsidRPr="00B72171">
        <w:rPr>
          <w:rFonts w:ascii="Garamond" w:hAnsi="Garamond"/>
          <w:color w:val="000000" w:themeColor="text1"/>
          <w:sz w:val="24"/>
          <w:szCs w:val="24"/>
        </w:rPr>
        <w:t xml:space="preserve">  Give</w:t>
      </w:r>
      <w:proofErr w:type="gramEnd"/>
      <w:r w:rsidRPr="00B72171">
        <w:rPr>
          <w:rFonts w:ascii="Garamond" w:hAnsi="Garamond"/>
          <w:color w:val="000000" w:themeColor="text1"/>
          <w:sz w:val="24"/>
          <w:szCs w:val="24"/>
        </w:rPr>
        <w:t xml:space="preserve"> the client a written list of next steps, deadlines, pending items, and known unknowns.</w:t>
      </w:r>
    </w:p>
    <w:p w14:paraId="0194ED13" w14:textId="77777777" w:rsidR="00E3316C" w:rsidRPr="00B72171" w:rsidRDefault="00000000">
      <w:pPr>
        <w:spacing w:after="60"/>
        <w:ind w:left="360" w:hanging="360"/>
        <w:rPr>
          <w:rFonts w:ascii="Garamond" w:hAnsi="Garamond"/>
          <w:color w:val="000000" w:themeColor="text1"/>
          <w:sz w:val="24"/>
          <w:szCs w:val="24"/>
        </w:rPr>
      </w:pPr>
      <w:proofErr w:type="gramStart"/>
      <w:r w:rsidRPr="00B72171">
        <w:rPr>
          <w:rFonts w:ascii="Segoe UI Symbol" w:hAnsi="Segoe UI Symbol" w:cs="Segoe UI Symbol"/>
          <w:color w:val="000000" w:themeColor="text1"/>
          <w:sz w:val="24"/>
          <w:szCs w:val="24"/>
        </w:rPr>
        <w:t>☐</w:t>
      </w:r>
      <w:r w:rsidRPr="00B72171">
        <w:rPr>
          <w:rFonts w:ascii="Garamond" w:hAnsi="Garamond"/>
          <w:color w:val="000000" w:themeColor="text1"/>
          <w:sz w:val="24"/>
          <w:szCs w:val="24"/>
        </w:rPr>
        <w:t xml:space="preserve">  Identify</w:t>
      </w:r>
      <w:proofErr w:type="gramEnd"/>
      <w:r w:rsidRPr="00B72171">
        <w:rPr>
          <w:rFonts w:ascii="Garamond" w:hAnsi="Garamond"/>
          <w:color w:val="000000" w:themeColor="text1"/>
          <w:sz w:val="24"/>
          <w:szCs w:val="24"/>
        </w:rPr>
        <w:t xml:space="preserve"> any missing document that may still be obtained later.</w:t>
      </w:r>
    </w:p>
    <w:p w14:paraId="4957B56A" w14:textId="77777777" w:rsidR="00E3316C" w:rsidRPr="00B72171" w:rsidRDefault="00000000">
      <w:pPr>
        <w:spacing w:after="60"/>
        <w:ind w:left="360" w:hanging="360"/>
        <w:rPr>
          <w:rFonts w:ascii="Garamond" w:hAnsi="Garamond"/>
          <w:color w:val="000000" w:themeColor="text1"/>
          <w:sz w:val="24"/>
          <w:szCs w:val="24"/>
        </w:rPr>
      </w:pPr>
      <w:proofErr w:type="gramStart"/>
      <w:r w:rsidRPr="00B72171">
        <w:rPr>
          <w:rFonts w:ascii="Segoe UI Symbol" w:hAnsi="Segoe UI Symbol" w:cs="Segoe UI Symbol"/>
          <w:color w:val="000000" w:themeColor="text1"/>
          <w:sz w:val="24"/>
          <w:szCs w:val="24"/>
        </w:rPr>
        <w:t>☐</w:t>
      </w:r>
      <w:r w:rsidRPr="00B72171">
        <w:rPr>
          <w:rFonts w:ascii="Garamond" w:hAnsi="Garamond"/>
          <w:color w:val="000000" w:themeColor="text1"/>
          <w:sz w:val="24"/>
          <w:szCs w:val="24"/>
        </w:rPr>
        <w:t xml:space="preserve">  Clarify</w:t>
      </w:r>
      <w:proofErr w:type="gramEnd"/>
      <w:r w:rsidRPr="00B72171">
        <w:rPr>
          <w:rFonts w:ascii="Garamond" w:hAnsi="Garamond"/>
          <w:color w:val="000000" w:themeColor="text1"/>
          <w:sz w:val="24"/>
          <w:szCs w:val="24"/>
        </w:rPr>
        <w:t xml:space="preserve"> whether representation is continuing or ending; if ending, provide a clear disengagement / closure note consistent with local rules and practice.</w:t>
      </w:r>
    </w:p>
    <w:p w14:paraId="44D7703C" w14:textId="77777777" w:rsidR="00E3316C" w:rsidRPr="00B72171" w:rsidRDefault="00000000">
      <w:pPr>
        <w:spacing w:after="60"/>
        <w:ind w:left="360" w:hanging="360"/>
        <w:rPr>
          <w:rFonts w:ascii="Garamond" w:hAnsi="Garamond"/>
          <w:color w:val="000000" w:themeColor="text1"/>
          <w:sz w:val="24"/>
          <w:szCs w:val="24"/>
        </w:rPr>
      </w:pPr>
      <w:proofErr w:type="gramStart"/>
      <w:r w:rsidRPr="00B72171">
        <w:rPr>
          <w:rFonts w:ascii="Segoe UI Symbol" w:hAnsi="Segoe UI Symbol" w:cs="Segoe UI Symbol"/>
          <w:color w:val="000000" w:themeColor="text1"/>
          <w:sz w:val="24"/>
          <w:szCs w:val="24"/>
        </w:rPr>
        <w:t>☐</w:t>
      </w:r>
      <w:r w:rsidRPr="00B72171">
        <w:rPr>
          <w:rFonts w:ascii="Garamond" w:hAnsi="Garamond"/>
          <w:color w:val="000000" w:themeColor="text1"/>
          <w:sz w:val="24"/>
          <w:szCs w:val="24"/>
        </w:rPr>
        <w:t xml:space="preserve">  Provide</w:t>
      </w:r>
      <w:proofErr w:type="gramEnd"/>
      <w:r w:rsidRPr="00B72171">
        <w:rPr>
          <w:rFonts w:ascii="Garamond" w:hAnsi="Garamond"/>
          <w:color w:val="000000" w:themeColor="text1"/>
          <w:sz w:val="24"/>
          <w:szCs w:val="24"/>
        </w:rPr>
        <w:t xml:space="preserve"> referral information for interpretation, mental health, social work, or emergency needs if relevant.</w:t>
      </w:r>
    </w:p>
    <w:p w14:paraId="17F9931A" w14:textId="77777777" w:rsidR="00E3316C" w:rsidRPr="00B72171" w:rsidRDefault="00000000">
      <w:pPr>
        <w:spacing w:after="60"/>
        <w:ind w:left="360" w:hanging="360"/>
        <w:rPr>
          <w:rFonts w:ascii="Garamond" w:hAnsi="Garamond"/>
          <w:color w:val="000000" w:themeColor="text1"/>
          <w:sz w:val="24"/>
          <w:szCs w:val="24"/>
        </w:rPr>
      </w:pPr>
      <w:proofErr w:type="gramStart"/>
      <w:r w:rsidRPr="00B72171">
        <w:rPr>
          <w:rFonts w:ascii="Segoe UI Symbol" w:hAnsi="Segoe UI Symbol" w:cs="Segoe UI Symbol"/>
          <w:color w:val="000000" w:themeColor="text1"/>
          <w:sz w:val="24"/>
          <w:szCs w:val="24"/>
        </w:rPr>
        <w:t>☐</w:t>
      </w:r>
      <w:r w:rsidRPr="00B72171">
        <w:rPr>
          <w:rFonts w:ascii="Garamond" w:hAnsi="Garamond"/>
          <w:color w:val="000000" w:themeColor="text1"/>
          <w:sz w:val="24"/>
          <w:szCs w:val="24"/>
        </w:rPr>
        <w:t xml:space="preserve">  Check</w:t>
      </w:r>
      <w:proofErr w:type="gramEnd"/>
      <w:r w:rsidRPr="00B72171">
        <w:rPr>
          <w:rFonts w:ascii="Garamond" w:hAnsi="Garamond"/>
          <w:color w:val="000000" w:themeColor="text1"/>
          <w:sz w:val="24"/>
          <w:szCs w:val="24"/>
        </w:rPr>
        <w:t xml:space="preserve"> whether the client feels sufficiently grounded to leave the meeting.</w:t>
      </w:r>
    </w:p>
    <w:p w14:paraId="2B95AC21" w14:textId="77777777" w:rsidR="00E3316C" w:rsidRPr="00102618" w:rsidRDefault="00000000">
      <w:pPr>
        <w:pStyle w:val="Heading1"/>
        <w:shd w:val="clear" w:color="auto" w:fill="1F3864"/>
        <w:ind w:left="140"/>
        <w:rPr>
          <w:rFonts w:ascii="Garamond" w:hAnsi="Garamond"/>
          <w:sz w:val="24"/>
          <w:szCs w:val="24"/>
        </w:rPr>
      </w:pPr>
      <w:r w:rsidRPr="00102618">
        <w:rPr>
          <w:rFonts w:ascii="Garamond" w:hAnsi="Garamond"/>
          <w:sz w:val="24"/>
          <w:szCs w:val="24"/>
        </w:rPr>
        <w:lastRenderedPageBreak/>
        <w:t>Appendix A. Glossary of Practical Terms</w:t>
      </w:r>
    </w:p>
    <w:p w14:paraId="27F928CF" w14:textId="77777777" w:rsidR="00E3316C" w:rsidRPr="00102618" w:rsidRDefault="00E3316C">
      <w:pPr>
        <w:spacing w:before="60" w:after="60"/>
        <w:rPr>
          <w:rFonts w:ascii="Garamond" w:hAnsi="Garamond"/>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3316C" w:rsidRPr="00102618" w14:paraId="27E23798" w14:textId="77777777">
        <w:tc>
          <w:tcPr>
            <w:tcW w:w="9360" w:type="dxa"/>
            <w:tcBorders>
              <w:top w:val="single" w:sz="8" w:space="0" w:color="1F3864"/>
              <w:left w:val="single" w:sz="8" w:space="0" w:color="1F3864"/>
              <w:bottom w:val="single" w:sz="4" w:space="0" w:color="1F3864"/>
              <w:right w:val="single" w:sz="8" w:space="0" w:color="1F3864"/>
            </w:tcBorders>
            <w:shd w:val="clear" w:color="auto" w:fill="D6E4F0"/>
            <w:tcMar>
              <w:top w:w="120" w:type="dxa"/>
              <w:left w:w="160" w:type="dxa"/>
              <w:bottom w:w="120" w:type="dxa"/>
              <w:right w:w="160" w:type="dxa"/>
            </w:tcMar>
          </w:tcPr>
          <w:p w14:paraId="1C9F573B" w14:textId="77777777" w:rsidR="00E3316C" w:rsidRPr="00102618" w:rsidRDefault="00000000">
            <w:pPr>
              <w:spacing w:after="120"/>
              <w:rPr>
                <w:rFonts w:ascii="Garamond" w:hAnsi="Garamond"/>
                <w:sz w:val="24"/>
                <w:szCs w:val="24"/>
              </w:rPr>
            </w:pPr>
            <w:r w:rsidRPr="00102618">
              <w:rPr>
                <w:rFonts w:ascii="Garamond" w:hAnsi="Garamond"/>
                <w:b/>
                <w:bCs/>
                <w:sz w:val="24"/>
                <w:szCs w:val="24"/>
              </w:rPr>
              <w:t xml:space="preserve">Purpose.  </w:t>
            </w:r>
            <w:r w:rsidRPr="00102618">
              <w:rPr>
                <w:rFonts w:ascii="Garamond" w:hAnsi="Garamond"/>
                <w:sz w:val="24"/>
                <w:szCs w:val="24"/>
              </w:rPr>
              <w:t>This glossary defines the specialized and technical terms used throughout the CIAS Practitioner Toolkit. It is designed to support practitioners from different disciplines—legal, social work, clinical, and allied—who may use terminology differently in their home fields. All definitions reflect the specific meaning of each term within this toolkit's framework and should not be substituted for legal definitions used in court or administrative filings.</w:t>
            </w:r>
          </w:p>
        </w:tc>
      </w:tr>
    </w:tbl>
    <w:p w14:paraId="2C7B8ECC" w14:textId="77777777" w:rsidR="00E3316C" w:rsidRPr="00102618" w:rsidRDefault="00E3316C">
      <w:pPr>
        <w:spacing w:before="60" w:after="60"/>
        <w:rPr>
          <w:rFonts w:ascii="Garamond" w:hAnsi="Garamond"/>
          <w:sz w:val="24"/>
          <w:szCs w:val="24"/>
        </w:rPr>
      </w:pPr>
    </w:p>
    <w:p w14:paraId="1B21F404" w14:textId="77777777" w:rsidR="00E3316C" w:rsidRPr="00B72171" w:rsidRDefault="00000000">
      <w:pPr>
        <w:pStyle w:val="Heading3"/>
        <w:rPr>
          <w:rFonts w:ascii="Garamond" w:hAnsi="Garamond"/>
          <w:color w:val="000000" w:themeColor="text1"/>
          <w:sz w:val="24"/>
          <w:szCs w:val="24"/>
        </w:rPr>
      </w:pPr>
      <w:r w:rsidRPr="00B72171">
        <w:rPr>
          <w:rFonts w:ascii="Garamond" w:hAnsi="Garamond"/>
          <w:color w:val="000000" w:themeColor="text1"/>
          <w:sz w:val="24"/>
          <w:szCs w:val="24"/>
        </w:rPr>
        <w:t>Use This Appendix When</w:t>
      </w:r>
    </w:p>
    <w:p w14:paraId="009AF102" w14:textId="77777777" w:rsidR="00E3316C" w:rsidRPr="00B72171" w:rsidRDefault="00000000">
      <w:pPr>
        <w:pStyle w:val="ListParagraph"/>
        <w:numPr>
          <w:ilvl w:val="0"/>
          <w:numId w:val="2"/>
        </w:numPr>
        <w:spacing w:after="60"/>
        <w:rPr>
          <w:rFonts w:ascii="Garamond" w:hAnsi="Garamond"/>
          <w:color w:val="000000" w:themeColor="text1"/>
          <w:sz w:val="24"/>
          <w:szCs w:val="24"/>
        </w:rPr>
      </w:pPr>
      <w:r w:rsidRPr="00B72171">
        <w:rPr>
          <w:rFonts w:ascii="Garamond" w:hAnsi="Garamond"/>
          <w:color w:val="000000" w:themeColor="text1"/>
          <w:sz w:val="24"/>
          <w:szCs w:val="24"/>
        </w:rPr>
        <w:t>A term in the toolkit is unfamiliar or ambiguous.</w:t>
      </w:r>
    </w:p>
    <w:p w14:paraId="531C8C01" w14:textId="77777777" w:rsidR="00E3316C" w:rsidRPr="00B72171" w:rsidRDefault="00000000">
      <w:pPr>
        <w:pStyle w:val="ListParagraph"/>
        <w:numPr>
          <w:ilvl w:val="0"/>
          <w:numId w:val="2"/>
        </w:numPr>
        <w:spacing w:after="60"/>
        <w:rPr>
          <w:rFonts w:ascii="Garamond" w:hAnsi="Garamond"/>
          <w:color w:val="000000" w:themeColor="text1"/>
          <w:sz w:val="24"/>
          <w:szCs w:val="24"/>
        </w:rPr>
      </w:pPr>
      <w:r w:rsidRPr="00B72171">
        <w:rPr>
          <w:rFonts w:ascii="Garamond" w:hAnsi="Garamond"/>
          <w:color w:val="000000" w:themeColor="text1"/>
          <w:sz w:val="24"/>
          <w:szCs w:val="24"/>
        </w:rPr>
        <w:t>Orienting a new team member or supervising practitioner to the toolkit's conceptual language.</w:t>
      </w:r>
    </w:p>
    <w:p w14:paraId="0933D7A3" w14:textId="77777777" w:rsidR="00E3316C" w:rsidRPr="00B72171" w:rsidRDefault="00000000">
      <w:pPr>
        <w:pStyle w:val="ListParagraph"/>
        <w:numPr>
          <w:ilvl w:val="0"/>
          <w:numId w:val="2"/>
        </w:numPr>
        <w:spacing w:after="60"/>
        <w:rPr>
          <w:rFonts w:ascii="Garamond" w:hAnsi="Garamond"/>
          <w:color w:val="000000" w:themeColor="text1"/>
          <w:sz w:val="24"/>
          <w:szCs w:val="24"/>
        </w:rPr>
      </w:pPr>
      <w:r w:rsidRPr="00B72171">
        <w:rPr>
          <w:rFonts w:ascii="Garamond" w:hAnsi="Garamond"/>
          <w:color w:val="000000" w:themeColor="text1"/>
          <w:sz w:val="24"/>
          <w:szCs w:val="24"/>
        </w:rPr>
        <w:t>Translating between legal and social work or clinical terminology within a team.</w:t>
      </w:r>
    </w:p>
    <w:p w14:paraId="24E43BEB" w14:textId="77777777" w:rsidR="00E3316C" w:rsidRPr="00B72171" w:rsidRDefault="00E3316C">
      <w:pPr>
        <w:spacing w:before="60" w:after="60"/>
        <w:rPr>
          <w:rFonts w:ascii="Garamond" w:hAnsi="Garamond"/>
          <w:color w:val="000000" w:themeColor="text1"/>
          <w:sz w:val="24"/>
          <w:szCs w:val="24"/>
        </w:rPr>
      </w:pPr>
    </w:p>
    <w:p w14:paraId="62DB6695" w14:textId="77777777" w:rsidR="00E3316C" w:rsidRPr="00B72171" w:rsidRDefault="00000000">
      <w:pPr>
        <w:pStyle w:val="Heading3"/>
        <w:rPr>
          <w:rFonts w:ascii="Garamond" w:hAnsi="Garamond"/>
          <w:color w:val="000000" w:themeColor="text1"/>
          <w:sz w:val="24"/>
          <w:szCs w:val="24"/>
        </w:rPr>
      </w:pPr>
      <w:r w:rsidRPr="00B72171">
        <w:rPr>
          <w:rFonts w:ascii="Garamond" w:hAnsi="Garamond"/>
          <w:color w:val="000000" w:themeColor="text1"/>
          <w:sz w:val="24"/>
          <w:szCs w:val="24"/>
        </w:rPr>
        <w:t>Practice Note</w:t>
      </w:r>
    </w:p>
    <w:p w14:paraId="15FB5585" w14:textId="77777777" w:rsidR="00E3316C" w:rsidRPr="00102618" w:rsidRDefault="00000000">
      <w:pPr>
        <w:spacing w:after="120"/>
        <w:rPr>
          <w:rFonts w:ascii="Garamond" w:hAnsi="Garamond"/>
          <w:sz w:val="24"/>
          <w:szCs w:val="24"/>
        </w:rPr>
      </w:pPr>
      <w:r w:rsidRPr="00102618">
        <w:rPr>
          <w:rFonts w:ascii="Garamond" w:hAnsi="Garamond"/>
          <w:sz w:val="24"/>
          <w:szCs w:val="24"/>
        </w:rPr>
        <w:t>These definitions are working definitions for toolkit use. They do not constitute legal advice and should not be cited in legal filings without independent verification of applicable legal standards.</w:t>
      </w:r>
    </w:p>
    <w:p w14:paraId="660C9EAA" w14:textId="77777777" w:rsidR="00E3316C" w:rsidRPr="00102618" w:rsidRDefault="00E3316C">
      <w:pPr>
        <w:spacing w:before="60" w:after="60"/>
        <w:rPr>
          <w:rFonts w:ascii="Garamond" w:hAnsi="Garamond"/>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20"/>
        <w:gridCol w:w="3240"/>
      </w:tblGrid>
      <w:tr w:rsidR="00E3316C" w:rsidRPr="00102618" w14:paraId="36CFECFF" w14:textId="77777777">
        <w:trPr>
          <w:tblHeader/>
        </w:trPr>
        <w:tc>
          <w:tcPr>
            <w:tcW w:w="61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0D2FC750" w14:textId="77777777" w:rsidR="00E3316C" w:rsidRPr="00102618" w:rsidRDefault="00000000">
            <w:pPr>
              <w:rPr>
                <w:rFonts w:ascii="Garamond" w:hAnsi="Garamond"/>
                <w:sz w:val="24"/>
                <w:szCs w:val="24"/>
              </w:rPr>
            </w:pPr>
            <w:r w:rsidRPr="00102618">
              <w:rPr>
                <w:rFonts w:ascii="Garamond" w:hAnsi="Garamond"/>
                <w:b/>
                <w:bCs/>
                <w:color w:val="FFFFFF"/>
                <w:sz w:val="24"/>
                <w:szCs w:val="24"/>
              </w:rPr>
              <w:t>Term</w:t>
            </w:r>
          </w:p>
        </w:tc>
        <w:tc>
          <w:tcPr>
            <w:tcW w:w="324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7CFDFC95" w14:textId="77777777" w:rsidR="00E3316C" w:rsidRPr="00102618" w:rsidRDefault="00000000">
            <w:pPr>
              <w:rPr>
                <w:rFonts w:ascii="Garamond" w:hAnsi="Garamond"/>
                <w:sz w:val="24"/>
                <w:szCs w:val="24"/>
              </w:rPr>
            </w:pPr>
            <w:r w:rsidRPr="00102618">
              <w:rPr>
                <w:rFonts w:ascii="Garamond" w:hAnsi="Garamond"/>
                <w:b/>
                <w:bCs/>
                <w:color w:val="FFFFFF"/>
                <w:sz w:val="24"/>
                <w:szCs w:val="24"/>
              </w:rPr>
              <w:t>Working Meaning in This Toolkit</w:t>
            </w:r>
          </w:p>
        </w:tc>
      </w:tr>
      <w:tr w:rsidR="00E3316C" w:rsidRPr="00102618" w14:paraId="5EEEF787" w14:textId="77777777">
        <w:tc>
          <w:tcPr>
            <w:tcW w:w="6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61C3B8B1" w14:textId="77777777" w:rsidR="00E3316C" w:rsidRPr="00102618" w:rsidRDefault="00000000">
            <w:pPr>
              <w:rPr>
                <w:rFonts w:ascii="Garamond" w:hAnsi="Garamond"/>
                <w:sz w:val="24"/>
                <w:szCs w:val="24"/>
              </w:rPr>
            </w:pPr>
            <w:r w:rsidRPr="00102618">
              <w:rPr>
                <w:rFonts w:ascii="Garamond" w:hAnsi="Garamond"/>
                <w:sz w:val="24"/>
                <w:szCs w:val="24"/>
              </w:rPr>
              <w:t>Core fact</w:t>
            </w:r>
          </w:p>
        </w:tc>
        <w:tc>
          <w:tcPr>
            <w:tcW w:w="3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C915823" w14:textId="77777777" w:rsidR="00E3316C" w:rsidRPr="00102618" w:rsidRDefault="00000000">
            <w:pPr>
              <w:rPr>
                <w:rFonts w:ascii="Garamond" w:hAnsi="Garamond"/>
                <w:sz w:val="24"/>
                <w:szCs w:val="24"/>
              </w:rPr>
            </w:pPr>
            <w:r w:rsidRPr="00102618">
              <w:rPr>
                <w:rFonts w:ascii="Garamond" w:hAnsi="Garamond"/>
                <w:sz w:val="24"/>
                <w:szCs w:val="24"/>
              </w:rPr>
              <w:t>A fact central to the claim, such as who harmed the client, why they were targeted, what happened, or what they fear if returned.</w:t>
            </w:r>
          </w:p>
        </w:tc>
      </w:tr>
      <w:tr w:rsidR="00E3316C" w:rsidRPr="00102618" w14:paraId="7540DAA6" w14:textId="77777777">
        <w:tc>
          <w:tcPr>
            <w:tcW w:w="61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109AD475" w14:textId="77777777" w:rsidR="00E3316C" w:rsidRPr="00102618" w:rsidRDefault="00000000">
            <w:pPr>
              <w:rPr>
                <w:rFonts w:ascii="Garamond" w:hAnsi="Garamond"/>
                <w:sz w:val="24"/>
                <w:szCs w:val="24"/>
              </w:rPr>
            </w:pPr>
            <w:r w:rsidRPr="00102618">
              <w:rPr>
                <w:rFonts w:ascii="Garamond" w:hAnsi="Garamond"/>
                <w:sz w:val="24"/>
                <w:szCs w:val="24"/>
              </w:rPr>
              <w:t>Peripheral detail</w:t>
            </w:r>
          </w:p>
        </w:tc>
        <w:tc>
          <w:tcPr>
            <w:tcW w:w="32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1ED53AE3" w14:textId="77777777" w:rsidR="00E3316C" w:rsidRPr="00102618" w:rsidRDefault="00000000">
            <w:pPr>
              <w:rPr>
                <w:rFonts w:ascii="Garamond" w:hAnsi="Garamond"/>
                <w:sz w:val="24"/>
                <w:szCs w:val="24"/>
              </w:rPr>
            </w:pPr>
            <w:r w:rsidRPr="00102618">
              <w:rPr>
                <w:rFonts w:ascii="Garamond" w:hAnsi="Garamond"/>
                <w:sz w:val="24"/>
                <w:szCs w:val="24"/>
              </w:rPr>
              <w:t>A secondary detail such as the exact day, weather, clothing, room layout, or other detail that may shift without changing the core event.</w:t>
            </w:r>
          </w:p>
        </w:tc>
      </w:tr>
      <w:tr w:rsidR="00E3316C" w:rsidRPr="00102618" w14:paraId="5B553265" w14:textId="77777777">
        <w:tc>
          <w:tcPr>
            <w:tcW w:w="6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410F762" w14:textId="77777777" w:rsidR="00E3316C" w:rsidRPr="00102618" w:rsidRDefault="00000000">
            <w:pPr>
              <w:rPr>
                <w:rFonts w:ascii="Garamond" w:hAnsi="Garamond"/>
                <w:sz w:val="24"/>
                <w:szCs w:val="24"/>
              </w:rPr>
            </w:pPr>
            <w:r w:rsidRPr="00102618">
              <w:rPr>
                <w:rFonts w:ascii="Garamond" w:hAnsi="Garamond"/>
                <w:sz w:val="24"/>
                <w:szCs w:val="24"/>
              </w:rPr>
              <w:t>Language of encoding</w:t>
            </w:r>
          </w:p>
        </w:tc>
        <w:tc>
          <w:tcPr>
            <w:tcW w:w="3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9EF45CA" w14:textId="77777777" w:rsidR="00E3316C" w:rsidRPr="00102618" w:rsidRDefault="00000000">
            <w:pPr>
              <w:rPr>
                <w:rFonts w:ascii="Garamond" w:hAnsi="Garamond"/>
                <w:sz w:val="24"/>
                <w:szCs w:val="24"/>
              </w:rPr>
            </w:pPr>
            <w:r w:rsidRPr="00102618">
              <w:rPr>
                <w:rFonts w:ascii="Garamond" w:hAnsi="Garamond"/>
                <w:sz w:val="24"/>
                <w:szCs w:val="24"/>
              </w:rPr>
              <w:t>The language or dialect used when the experience happened, which may shape how memory is later retrieved.</w:t>
            </w:r>
          </w:p>
        </w:tc>
      </w:tr>
      <w:tr w:rsidR="00E3316C" w:rsidRPr="00102618" w14:paraId="7723CA97" w14:textId="77777777">
        <w:tc>
          <w:tcPr>
            <w:tcW w:w="61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6E7B28A0" w14:textId="77777777" w:rsidR="00E3316C" w:rsidRPr="00102618" w:rsidRDefault="00000000">
            <w:pPr>
              <w:rPr>
                <w:rFonts w:ascii="Garamond" w:hAnsi="Garamond"/>
                <w:sz w:val="24"/>
                <w:szCs w:val="24"/>
              </w:rPr>
            </w:pPr>
            <w:r w:rsidRPr="00102618">
              <w:rPr>
                <w:rFonts w:ascii="Garamond" w:hAnsi="Garamond"/>
                <w:sz w:val="24"/>
                <w:szCs w:val="24"/>
              </w:rPr>
              <w:t>Meaning gap</w:t>
            </w:r>
          </w:p>
        </w:tc>
        <w:tc>
          <w:tcPr>
            <w:tcW w:w="32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05D27D76" w14:textId="77777777" w:rsidR="00E3316C" w:rsidRPr="00102618" w:rsidRDefault="00000000">
            <w:pPr>
              <w:rPr>
                <w:rFonts w:ascii="Garamond" w:hAnsi="Garamond"/>
                <w:sz w:val="24"/>
                <w:szCs w:val="24"/>
              </w:rPr>
            </w:pPr>
            <w:r w:rsidRPr="00102618">
              <w:rPr>
                <w:rFonts w:ascii="Garamond" w:hAnsi="Garamond"/>
                <w:sz w:val="24"/>
                <w:szCs w:val="24"/>
              </w:rPr>
              <w:t>A gap between literal translation and the institutional or cultural meaning of the question or answer.</w:t>
            </w:r>
          </w:p>
        </w:tc>
      </w:tr>
      <w:tr w:rsidR="00E3316C" w:rsidRPr="00102618" w14:paraId="3949D24B" w14:textId="77777777">
        <w:tc>
          <w:tcPr>
            <w:tcW w:w="6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332001EF" w14:textId="77777777" w:rsidR="00E3316C" w:rsidRPr="00102618" w:rsidRDefault="00000000">
            <w:pPr>
              <w:rPr>
                <w:rFonts w:ascii="Garamond" w:hAnsi="Garamond"/>
                <w:sz w:val="24"/>
                <w:szCs w:val="24"/>
              </w:rPr>
            </w:pPr>
            <w:r w:rsidRPr="00102618">
              <w:rPr>
                <w:rFonts w:ascii="Garamond" w:hAnsi="Garamond"/>
                <w:sz w:val="24"/>
                <w:szCs w:val="24"/>
              </w:rPr>
              <w:lastRenderedPageBreak/>
              <w:t>Enabled disclosure</w:t>
            </w:r>
          </w:p>
        </w:tc>
        <w:tc>
          <w:tcPr>
            <w:tcW w:w="3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6DF70A0F" w14:textId="77777777" w:rsidR="00E3316C" w:rsidRPr="00102618" w:rsidRDefault="00000000">
            <w:pPr>
              <w:rPr>
                <w:rFonts w:ascii="Garamond" w:hAnsi="Garamond"/>
                <w:sz w:val="24"/>
                <w:szCs w:val="24"/>
              </w:rPr>
            </w:pPr>
            <w:r w:rsidRPr="00102618">
              <w:rPr>
                <w:rFonts w:ascii="Garamond" w:hAnsi="Garamond"/>
                <w:sz w:val="24"/>
                <w:szCs w:val="24"/>
              </w:rPr>
              <w:t>Disclosure that emerges over time because the setting, pacing, and relationship make it safe enough to speak.</w:t>
            </w:r>
          </w:p>
        </w:tc>
      </w:tr>
      <w:tr w:rsidR="00E3316C" w:rsidRPr="00102618" w14:paraId="5971E24B" w14:textId="77777777">
        <w:tc>
          <w:tcPr>
            <w:tcW w:w="61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60154FDA" w14:textId="77777777" w:rsidR="00E3316C" w:rsidRPr="00102618" w:rsidRDefault="00000000">
            <w:pPr>
              <w:rPr>
                <w:rFonts w:ascii="Garamond" w:hAnsi="Garamond"/>
                <w:sz w:val="24"/>
                <w:szCs w:val="24"/>
              </w:rPr>
            </w:pPr>
            <w:r w:rsidRPr="00102618">
              <w:rPr>
                <w:rFonts w:ascii="Garamond" w:hAnsi="Garamond"/>
                <w:sz w:val="24"/>
                <w:szCs w:val="24"/>
              </w:rPr>
              <w:t>Elicited disclosure</w:t>
            </w:r>
          </w:p>
        </w:tc>
        <w:tc>
          <w:tcPr>
            <w:tcW w:w="32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2CA53869" w14:textId="77777777" w:rsidR="00E3316C" w:rsidRPr="00102618" w:rsidRDefault="00000000">
            <w:pPr>
              <w:rPr>
                <w:rFonts w:ascii="Garamond" w:hAnsi="Garamond"/>
                <w:sz w:val="24"/>
                <w:szCs w:val="24"/>
              </w:rPr>
            </w:pPr>
            <w:r w:rsidRPr="00102618">
              <w:rPr>
                <w:rFonts w:ascii="Garamond" w:hAnsi="Garamond"/>
                <w:sz w:val="24"/>
                <w:szCs w:val="24"/>
              </w:rPr>
              <w:t>Disclosure that is pulled through direct questioning before sufficient safety or readiness exists.</w:t>
            </w:r>
          </w:p>
        </w:tc>
      </w:tr>
      <w:tr w:rsidR="00E3316C" w:rsidRPr="00102618" w14:paraId="0B86E1E5" w14:textId="77777777">
        <w:tc>
          <w:tcPr>
            <w:tcW w:w="6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01034266" w14:textId="77777777" w:rsidR="00E3316C" w:rsidRPr="00102618" w:rsidRDefault="00000000">
            <w:pPr>
              <w:rPr>
                <w:rFonts w:ascii="Garamond" w:hAnsi="Garamond"/>
                <w:sz w:val="24"/>
                <w:szCs w:val="24"/>
              </w:rPr>
            </w:pPr>
            <w:r w:rsidRPr="00102618">
              <w:rPr>
                <w:rFonts w:ascii="Garamond" w:hAnsi="Garamond"/>
                <w:sz w:val="24"/>
                <w:szCs w:val="24"/>
              </w:rPr>
              <w:t>Not Ready flag</w:t>
            </w:r>
          </w:p>
        </w:tc>
        <w:tc>
          <w:tcPr>
            <w:tcW w:w="3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7516ECC9" w14:textId="77777777" w:rsidR="00E3316C" w:rsidRPr="00102618" w:rsidRDefault="00000000">
            <w:pPr>
              <w:rPr>
                <w:rFonts w:ascii="Garamond" w:hAnsi="Garamond"/>
                <w:sz w:val="24"/>
                <w:szCs w:val="24"/>
              </w:rPr>
            </w:pPr>
            <w:r w:rsidRPr="00102618">
              <w:rPr>
                <w:rFonts w:ascii="Garamond" w:hAnsi="Garamond"/>
                <w:sz w:val="24"/>
                <w:szCs w:val="24"/>
              </w:rPr>
              <w:t>A documented note that a topic appears important but should not be pressed in the current meeting.</w:t>
            </w:r>
          </w:p>
        </w:tc>
      </w:tr>
      <w:tr w:rsidR="00E3316C" w:rsidRPr="00102618" w14:paraId="42F2A0EC" w14:textId="77777777">
        <w:tc>
          <w:tcPr>
            <w:tcW w:w="61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5094CB68" w14:textId="77777777" w:rsidR="00E3316C" w:rsidRPr="00102618" w:rsidRDefault="00000000">
            <w:pPr>
              <w:rPr>
                <w:rFonts w:ascii="Garamond" w:hAnsi="Garamond"/>
                <w:sz w:val="24"/>
                <w:szCs w:val="24"/>
              </w:rPr>
            </w:pPr>
            <w:r w:rsidRPr="00102618">
              <w:rPr>
                <w:rFonts w:ascii="Garamond" w:hAnsi="Garamond"/>
                <w:sz w:val="24"/>
                <w:szCs w:val="24"/>
              </w:rPr>
              <w:t>CIAS lens</w:t>
            </w:r>
          </w:p>
        </w:tc>
        <w:tc>
          <w:tcPr>
            <w:tcW w:w="32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774C3DFA" w14:textId="77777777" w:rsidR="00E3316C" w:rsidRPr="00102618" w:rsidRDefault="00000000">
            <w:pPr>
              <w:rPr>
                <w:rFonts w:ascii="Garamond" w:hAnsi="Garamond"/>
                <w:sz w:val="24"/>
                <w:szCs w:val="24"/>
              </w:rPr>
            </w:pPr>
            <w:r w:rsidRPr="00102618">
              <w:rPr>
                <w:rFonts w:ascii="Garamond" w:hAnsi="Garamond"/>
                <w:sz w:val="24"/>
                <w:szCs w:val="24"/>
              </w:rPr>
              <w:t>One of the four contextual domains (U.S. climate, developmental, economic, cultural) used to interpret testimony in this toolkit.</w:t>
            </w:r>
          </w:p>
        </w:tc>
      </w:tr>
      <w:tr w:rsidR="00E3316C" w:rsidRPr="00102618" w14:paraId="74BB380A" w14:textId="77777777">
        <w:tc>
          <w:tcPr>
            <w:tcW w:w="6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7114565F" w14:textId="77777777" w:rsidR="00E3316C" w:rsidRPr="00102618" w:rsidRDefault="00000000">
            <w:pPr>
              <w:rPr>
                <w:rFonts w:ascii="Garamond" w:hAnsi="Garamond"/>
                <w:sz w:val="24"/>
                <w:szCs w:val="24"/>
              </w:rPr>
            </w:pPr>
            <w:r w:rsidRPr="00102618">
              <w:rPr>
                <w:rFonts w:ascii="Garamond" w:hAnsi="Garamond"/>
                <w:sz w:val="24"/>
                <w:szCs w:val="24"/>
              </w:rPr>
              <w:t>Nexus</w:t>
            </w:r>
          </w:p>
        </w:tc>
        <w:tc>
          <w:tcPr>
            <w:tcW w:w="3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34427625" w14:textId="77777777" w:rsidR="00E3316C" w:rsidRPr="00102618" w:rsidRDefault="00000000">
            <w:pPr>
              <w:rPr>
                <w:rFonts w:ascii="Garamond" w:hAnsi="Garamond"/>
                <w:sz w:val="24"/>
                <w:szCs w:val="24"/>
              </w:rPr>
            </w:pPr>
            <w:r w:rsidRPr="00102618">
              <w:rPr>
                <w:rFonts w:ascii="Garamond" w:hAnsi="Garamond"/>
                <w:sz w:val="24"/>
                <w:szCs w:val="24"/>
              </w:rPr>
              <w:t>The legally required connection between the harm suffered and a protected ground (race, religion, nationality, political opinion, or particular social group).</w:t>
            </w:r>
          </w:p>
        </w:tc>
      </w:tr>
      <w:tr w:rsidR="00E3316C" w:rsidRPr="00102618" w14:paraId="5006CD97" w14:textId="77777777">
        <w:tc>
          <w:tcPr>
            <w:tcW w:w="61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4D61C63A" w14:textId="77777777" w:rsidR="00E3316C" w:rsidRPr="00102618" w:rsidRDefault="00000000">
            <w:pPr>
              <w:rPr>
                <w:rFonts w:ascii="Garamond" w:hAnsi="Garamond"/>
                <w:sz w:val="24"/>
                <w:szCs w:val="24"/>
              </w:rPr>
            </w:pPr>
            <w:r w:rsidRPr="00102618">
              <w:rPr>
                <w:rFonts w:ascii="Garamond" w:hAnsi="Garamond"/>
                <w:sz w:val="24"/>
                <w:szCs w:val="24"/>
              </w:rPr>
              <w:t>Containment</w:t>
            </w:r>
          </w:p>
        </w:tc>
        <w:tc>
          <w:tcPr>
            <w:tcW w:w="32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3AFE7CCE" w14:textId="77777777" w:rsidR="00E3316C" w:rsidRPr="00102618" w:rsidRDefault="00000000">
            <w:pPr>
              <w:rPr>
                <w:rFonts w:ascii="Garamond" w:hAnsi="Garamond"/>
                <w:sz w:val="24"/>
                <w:szCs w:val="24"/>
              </w:rPr>
            </w:pPr>
            <w:r w:rsidRPr="00102618">
              <w:rPr>
                <w:rFonts w:ascii="Garamond" w:hAnsi="Garamond"/>
                <w:sz w:val="24"/>
                <w:szCs w:val="24"/>
              </w:rPr>
              <w:t>A structured, practitioner-initiated pause used when the client becomes flooded, dissociated, or unable to continue safely.</w:t>
            </w:r>
          </w:p>
        </w:tc>
      </w:tr>
    </w:tbl>
    <w:p w14:paraId="300A0322" w14:textId="77777777" w:rsidR="00E3316C" w:rsidRPr="00102618" w:rsidRDefault="00000000">
      <w:pPr>
        <w:rPr>
          <w:rFonts w:ascii="Garamond" w:hAnsi="Garamond"/>
          <w:sz w:val="24"/>
          <w:szCs w:val="24"/>
        </w:rPr>
      </w:pPr>
      <w:r w:rsidRPr="00102618">
        <w:rPr>
          <w:rFonts w:ascii="Garamond" w:hAnsi="Garamond"/>
          <w:sz w:val="24"/>
          <w:szCs w:val="24"/>
        </w:rPr>
        <w:br w:type="page"/>
      </w:r>
    </w:p>
    <w:p w14:paraId="0B26EAB3" w14:textId="77777777" w:rsidR="00E3316C" w:rsidRPr="00102618" w:rsidRDefault="00000000">
      <w:pPr>
        <w:pStyle w:val="Heading1"/>
        <w:shd w:val="clear" w:color="auto" w:fill="1F3864"/>
        <w:ind w:left="140"/>
        <w:rPr>
          <w:rFonts w:ascii="Garamond" w:hAnsi="Garamond"/>
          <w:sz w:val="24"/>
          <w:szCs w:val="24"/>
        </w:rPr>
      </w:pPr>
      <w:r w:rsidRPr="00102618">
        <w:rPr>
          <w:rFonts w:ascii="Garamond" w:hAnsi="Garamond"/>
          <w:sz w:val="24"/>
          <w:szCs w:val="24"/>
        </w:rPr>
        <w:lastRenderedPageBreak/>
        <w:t>Appendix B. Annotated Sample Declaration Architecture</w:t>
      </w:r>
    </w:p>
    <w:p w14:paraId="6F06831B" w14:textId="77777777" w:rsidR="00E3316C" w:rsidRPr="00102618" w:rsidRDefault="00E3316C">
      <w:pPr>
        <w:spacing w:before="60" w:after="60"/>
        <w:rPr>
          <w:rFonts w:ascii="Garamond" w:hAnsi="Garamond"/>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3316C" w:rsidRPr="00102618" w14:paraId="2E2E2F08" w14:textId="77777777">
        <w:tc>
          <w:tcPr>
            <w:tcW w:w="9360" w:type="dxa"/>
            <w:tcBorders>
              <w:top w:val="single" w:sz="8" w:space="0" w:color="1F3864"/>
              <w:left w:val="single" w:sz="8" w:space="0" w:color="1F3864"/>
              <w:bottom w:val="single" w:sz="4" w:space="0" w:color="1F3864"/>
              <w:right w:val="single" w:sz="8" w:space="0" w:color="1F3864"/>
            </w:tcBorders>
            <w:shd w:val="clear" w:color="auto" w:fill="D6E4F0"/>
            <w:tcMar>
              <w:top w:w="120" w:type="dxa"/>
              <w:left w:w="160" w:type="dxa"/>
              <w:bottom w:w="120" w:type="dxa"/>
              <w:right w:w="160" w:type="dxa"/>
            </w:tcMar>
          </w:tcPr>
          <w:p w14:paraId="67E097D8" w14:textId="77777777" w:rsidR="00E3316C" w:rsidRPr="00102618" w:rsidRDefault="00000000">
            <w:pPr>
              <w:spacing w:after="120"/>
              <w:rPr>
                <w:rFonts w:ascii="Garamond" w:hAnsi="Garamond"/>
                <w:sz w:val="24"/>
                <w:szCs w:val="24"/>
              </w:rPr>
            </w:pPr>
            <w:r w:rsidRPr="00102618">
              <w:rPr>
                <w:rFonts w:ascii="Garamond" w:hAnsi="Garamond"/>
                <w:b/>
                <w:bCs/>
                <w:sz w:val="24"/>
                <w:szCs w:val="24"/>
              </w:rPr>
              <w:t xml:space="preserve">Purpose.  </w:t>
            </w:r>
            <w:r w:rsidRPr="00102618">
              <w:rPr>
                <w:rFonts w:ascii="Garamond" w:hAnsi="Garamond"/>
                <w:sz w:val="24"/>
                <w:szCs w:val="24"/>
              </w:rPr>
              <w:t>This appendix provides an annotated map of a well-structured asylum declaration, showing what belongs in each section, why it matters legally, and how the CIAS framework supports each component. It is intended to guide drafting and review rather than serve as a script. The sample architecture below is intentionally generic and rewritten for CIAS use; it is not copied from any jurisdiction-specific model (American Bar Association Commission on Immigration &amp; HIAS, 2022).</w:t>
            </w:r>
          </w:p>
        </w:tc>
      </w:tr>
    </w:tbl>
    <w:p w14:paraId="3CCF1F85" w14:textId="77777777" w:rsidR="00E3316C" w:rsidRPr="00102618" w:rsidRDefault="00E3316C">
      <w:pPr>
        <w:spacing w:before="60" w:after="60"/>
        <w:rPr>
          <w:rFonts w:ascii="Garamond" w:hAnsi="Garamond"/>
          <w:sz w:val="24"/>
          <w:szCs w:val="24"/>
        </w:rPr>
      </w:pPr>
    </w:p>
    <w:p w14:paraId="70F91472" w14:textId="77777777" w:rsidR="00E3316C" w:rsidRPr="00B72171" w:rsidRDefault="00000000">
      <w:pPr>
        <w:pStyle w:val="Heading3"/>
        <w:rPr>
          <w:rFonts w:ascii="Garamond" w:hAnsi="Garamond"/>
          <w:color w:val="000000" w:themeColor="text1"/>
          <w:sz w:val="24"/>
          <w:szCs w:val="24"/>
        </w:rPr>
      </w:pPr>
      <w:r w:rsidRPr="00B72171">
        <w:rPr>
          <w:rFonts w:ascii="Garamond" w:hAnsi="Garamond"/>
          <w:color w:val="000000" w:themeColor="text1"/>
          <w:sz w:val="24"/>
          <w:szCs w:val="24"/>
        </w:rPr>
        <w:t>Use This Appendix When</w:t>
      </w:r>
    </w:p>
    <w:p w14:paraId="1E923F2B" w14:textId="77777777" w:rsidR="00E3316C" w:rsidRPr="00B72171" w:rsidRDefault="00000000">
      <w:pPr>
        <w:pStyle w:val="ListParagraph"/>
        <w:numPr>
          <w:ilvl w:val="0"/>
          <w:numId w:val="2"/>
        </w:numPr>
        <w:spacing w:after="60"/>
        <w:rPr>
          <w:rFonts w:ascii="Garamond" w:hAnsi="Garamond"/>
          <w:color w:val="000000" w:themeColor="text1"/>
          <w:sz w:val="24"/>
          <w:szCs w:val="24"/>
        </w:rPr>
      </w:pPr>
      <w:r w:rsidRPr="00B72171">
        <w:rPr>
          <w:rFonts w:ascii="Garamond" w:hAnsi="Garamond"/>
          <w:color w:val="000000" w:themeColor="text1"/>
          <w:sz w:val="24"/>
          <w:szCs w:val="24"/>
        </w:rPr>
        <w:t>Beginning to draft a declaration for the first time with a new client.</w:t>
      </w:r>
    </w:p>
    <w:p w14:paraId="6B8E21B8" w14:textId="77777777" w:rsidR="00E3316C" w:rsidRPr="00B72171" w:rsidRDefault="00000000">
      <w:pPr>
        <w:pStyle w:val="ListParagraph"/>
        <w:numPr>
          <w:ilvl w:val="0"/>
          <w:numId w:val="2"/>
        </w:numPr>
        <w:spacing w:after="60"/>
        <w:rPr>
          <w:rFonts w:ascii="Garamond" w:hAnsi="Garamond"/>
          <w:color w:val="000000" w:themeColor="text1"/>
          <w:sz w:val="24"/>
          <w:szCs w:val="24"/>
        </w:rPr>
      </w:pPr>
      <w:r w:rsidRPr="00B72171">
        <w:rPr>
          <w:rFonts w:ascii="Garamond" w:hAnsi="Garamond"/>
          <w:color w:val="000000" w:themeColor="text1"/>
          <w:sz w:val="24"/>
          <w:szCs w:val="24"/>
        </w:rPr>
        <w:t>Reviewing a completed draft to identify structural holes or missing transitions.</w:t>
      </w:r>
    </w:p>
    <w:p w14:paraId="46B08C86" w14:textId="77777777" w:rsidR="00E3316C" w:rsidRPr="00B72171" w:rsidRDefault="00000000">
      <w:pPr>
        <w:pStyle w:val="ListParagraph"/>
        <w:numPr>
          <w:ilvl w:val="0"/>
          <w:numId w:val="2"/>
        </w:numPr>
        <w:spacing w:after="60"/>
        <w:rPr>
          <w:rFonts w:ascii="Garamond" w:hAnsi="Garamond"/>
          <w:color w:val="000000" w:themeColor="text1"/>
          <w:sz w:val="24"/>
          <w:szCs w:val="24"/>
        </w:rPr>
      </w:pPr>
      <w:r w:rsidRPr="00B72171">
        <w:rPr>
          <w:rFonts w:ascii="Garamond" w:hAnsi="Garamond"/>
          <w:color w:val="000000" w:themeColor="text1"/>
          <w:sz w:val="24"/>
          <w:szCs w:val="24"/>
        </w:rPr>
        <w:t>Explaining the declaration structure to a client, paralegal, or volunteer in plain language.</w:t>
      </w:r>
    </w:p>
    <w:p w14:paraId="7E0BD41B" w14:textId="77777777" w:rsidR="00E3316C" w:rsidRPr="00B72171" w:rsidRDefault="00000000">
      <w:pPr>
        <w:pStyle w:val="ListParagraph"/>
        <w:numPr>
          <w:ilvl w:val="0"/>
          <w:numId w:val="2"/>
        </w:numPr>
        <w:spacing w:after="60"/>
        <w:rPr>
          <w:rFonts w:ascii="Garamond" w:hAnsi="Garamond"/>
          <w:color w:val="000000" w:themeColor="text1"/>
          <w:sz w:val="24"/>
          <w:szCs w:val="24"/>
        </w:rPr>
      </w:pPr>
      <w:r w:rsidRPr="00B72171">
        <w:rPr>
          <w:rFonts w:ascii="Garamond" w:hAnsi="Garamond"/>
          <w:color w:val="000000" w:themeColor="text1"/>
          <w:sz w:val="24"/>
          <w:szCs w:val="24"/>
        </w:rPr>
        <w:t>Comparing the actual declaration to a standard architecture before filing.</w:t>
      </w:r>
    </w:p>
    <w:p w14:paraId="26D51170" w14:textId="77777777" w:rsidR="00E3316C" w:rsidRPr="00B72171" w:rsidRDefault="00E3316C">
      <w:pPr>
        <w:spacing w:before="60" w:after="60"/>
        <w:rPr>
          <w:rFonts w:ascii="Garamond" w:hAnsi="Garamond"/>
          <w:color w:val="000000" w:themeColor="text1"/>
          <w:sz w:val="24"/>
          <w:szCs w:val="24"/>
        </w:rPr>
      </w:pPr>
    </w:p>
    <w:p w14:paraId="570AB24E" w14:textId="77777777" w:rsidR="00E3316C" w:rsidRPr="00B72171" w:rsidRDefault="00000000">
      <w:pPr>
        <w:pStyle w:val="Heading3"/>
        <w:rPr>
          <w:rFonts w:ascii="Garamond" w:hAnsi="Garamond"/>
          <w:color w:val="000000" w:themeColor="text1"/>
          <w:sz w:val="24"/>
          <w:szCs w:val="24"/>
        </w:rPr>
      </w:pPr>
      <w:r w:rsidRPr="00B72171">
        <w:rPr>
          <w:rFonts w:ascii="Garamond" w:hAnsi="Garamond"/>
          <w:color w:val="000000" w:themeColor="text1"/>
          <w:sz w:val="24"/>
          <w:szCs w:val="24"/>
        </w:rPr>
        <w:t>Practice Note</w:t>
      </w:r>
    </w:p>
    <w:p w14:paraId="50673227" w14:textId="77777777" w:rsidR="00E3316C" w:rsidRPr="00102618" w:rsidRDefault="00000000">
      <w:pPr>
        <w:spacing w:after="120"/>
        <w:rPr>
          <w:rFonts w:ascii="Garamond" w:hAnsi="Garamond"/>
          <w:sz w:val="24"/>
          <w:szCs w:val="24"/>
        </w:rPr>
      </w:pPr>
      <w:r w:rsidRPr="00102618">
        <w:rPr>
          <w:rFonts w:ascii="Garamond" w:hAnsi="Garamond"/>
          <w:sz w:val="24"/>
          <w:szCs w:val="24"/>
        </w:rPr>
        <w:t>Use the Blank Declaration Template in Appendix C alongside this appendix for drafting. Do not copy sample language verbatim. Rewrite every section in the client's own voice. The annotated architecture shows what to include and why—the client's language determines how.</w:t>
      </w:r>
    </w:p>
    <w:p w14:paraId="21FBD783" w14:textId="77777777" w:rsidR="00E3316C" w:rsidRPr="00102618" w:rsidRDefault="00E3316C">
      <w:pPr>
        <w:spacing w:before="60" w:after="60"/>
        <w:rPr>
          <w:rFonts w:ascii="Garamond" w:hAnsi="Garamond"/>
          <w:sz w:val="24"/>
          <w:szCs w:val="24"/>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20"/>
        <w:gridCol w:w="3320"/>
        <w:gridCol w:w="3480"/>
      </w:tblGrid>
      <w:tr w:rsidR="00E3316C" w:rsidRPr="00102618" w14:paraId="58054031" w14:textId="77777777">
        <w:trPr>
          <w:tblHeader/>
        </w:trPr>
        <w:tc>
          <w:tcPr>
            <w:tcW w:w="29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55879228" w14:textId="77777777" w:rsidR="00E3316C" w:rsidRPr="00102618" w:rsidRDefault="00000000">
            <w:pPr>
              <w:rPr>
                <w:rFonts w:ascii="Garamond" w:hAnsi="Garamond"/>
                <w:sz w:val="24"/>
                <w:szCs w:val="24"/>
              </w:rPr>
            </w:pPr>
            <w:r w:rsidRPr="00102618">
              <w:rPr>
                <w:rFonts w:ascii="Garamond" w:hAnsi="Garamond"/>
                <w:b/>
                <w:bCs/>
                <w:color w:val="FFFFFF"/>
                <w:sz w:val="24"/>
                <w:szCs w:val="24"/>
              </w:rPr>
              <w:t>Declaration Component</w:t>
            </w:r>
          </w:p>
        </w:tc>
        <w:tc>
          <w:tcPr>
            <w:tcW w:w="33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4CFEF301" w14:textId="77777777" w:rsidR="00E3316C" w:rsidRPr="00102618" w:rsidRDefault="00000000">
            <w:pPr>
              <w:rPr>
                <w:rFonts w:ascii="Garamond" w:hAnsi="Garamond"/>
                <w:sz w:val="24"/>
                <w:szCs w:val="24"/>
              </w:rPr>
            </w:pPr>
            <w:r w:rsidRPr="00102618">
              <w:rPr>
                <w:rFonts w:ascii="Garamond" w:hAnsi="Garamond"/>
                <w:b/>
                <w:bCs/>
                <w:color w:val="FFFFFF"/>
                <w:sz w:val="24"/>
                <w:szCs w:val="24"/>
              </w:rPr>
              <w:t>What Goes Here</w:t>
            </w:r>
          </w:p>
        </w:tc>
        <w:tc>
          <w:tcPr>
            <w:tcW w:w="348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6BBD4B79" w14:textId="77777777" w:rsidR="00E3316C" w:rsidRPr="00102618" w:rsidRDefault="00000000">
            <w:pPr>
              <w:rPr>
                <w:rFonts w:ascii="Garamond" w:hAnsi="Garamond"/>
                <w:sz w:val="24"/>
                <w:szCs w:val="24"/>
              </w:rPr>
            </w:pPr>
            <w:r w:rsidRPr="00102618">
              <w:rPr>
                <w:rFonts w:ascii="Garamond" w:hAnsi="Garamond"/>
                <w:b/>
                <w:bCs/>
                <w:color w:val="FFFFFF"/>
                <w:sz w:val="24"/>
                <w:szCs w:val="24"/>
              </w:rPr>
              <w:t>Why It Matters</w:t>
            </w:r>
          </w:p>
        </w:tc>
      </w:tr>
      <w:tr w:rsidR="00E3316C" w:rsidRPr="00102618" w14:paraId="574A4604" w14:textId="77777777">
        <w:tc>
          <w:tcPr>
            <w:tcW w:w="29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C7C6C8B" w14:textId="77777777" w:rsidR="00E3316C" w:rsidRPr="00102618" w:rsidRDefault="00000000">
            <w:pPr>
              <w:rPr>
                <w:rFonts w:ascii="Garamond" w:hAnsi="Garamond"/>
                <w:sz w:val="24"/>
                <w:szCs w:val="24"/>
              </w:rPr>
            </w:pPr>
            <w:r w:rsidRPr="00102618">
              <w:rPr>
                <w:rFonts w:ascii="Garamond" w:hAnsi="Garamond"/>
                <w:sz w:val="24"/>
                <w:szCs w:val="24"/>
              </w:rPr>
              <w:t>Opening oath</w:t>
            </w:r>
          </w:p>
        </w:tc>
        <w:tc>
          <w:tcPr>
            <w:tcW w:w="33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C5CFB0C" w14:textId="77777777" w:rsidR="00E3316C" w:rsidRPr="00102618" w:rsidRDefault="00000000">
            <w:pPr>
              <w:rPr>
                <w:rFonts w:ascii="Garamond" w:hAnsi="Garamond"/>
                <w:sz w:val="24"/>
                <w:szCs w:val="24"/>
              </w:rPr>
            </w:pPr>
            <w:r w:rsidRPr="00102618">
              <w:rPr>
                <w:rFonts w:ascii="Garamond" w:hAnsi="Garamond"/>
                <w:sz w:val="24"/>
                <w:szCs w:val="24"/>
              </w:rPr>
              <w:t xml:space="preserve">A </w:t>
            </w:r>
            <w:proofErr w:type="gramStart"/>
            <w:r w:rsidRPr="00102618">
              <w:rPr>
                <w:rFonts w:ascii="Garamond" w:hAnsi="Garamond"/>
                <w:sz w:val="24"/>
                <w:szCs w:val="24"/>
              </w:rPr>
              <w:t>short sworn</w:t>
            </w:r>
            <w:proofErr w:type="gramEnd"/>
            <w:r w:rsidRPr="00102618">
              <w:rPr>
                <w:rFonts w:ascii="Garamond" w:hAnsi="Garamond"/>
                <w:sz w:val="24"/>
                <w:szCs w:val="24"/>
              </w:rPr>
              <w:t xml:space="preserve"> statement under penalty of perjury.</w:t>
            </w:r>
          </w:p>
        </w:tc>
        <w:tc>
          <w:tcPr>
            <w:tcW w:w="34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0617BA14" w14:textId="77777777" w:rsidR="00E3316C" w:rsidRPr="00102618" w:rsidRDefault="00000000">
            <w:pPr>
              <w:rPr>
                <w:rFonts w:ascii="Garamond" w:hAnsi="Garamond"/>
                <w:sz w:val="24"/>
                <w:szCs w:val="24"/>
              </w:rPr>
            </w:pPr>
            <w:r w:rsidRPr="00102618">
              <w:rPr>
                <w:rFonts w:ascii="Garamond" w:hAnsi="Garamond"/>
                <w:sz w:val="24"/>
                <w:szCs w:val="24"/>
              </w:rPr>
              <w:t>Signals that the declaration is the client's sworn narrative.</w:t>
            </w:r>
          </w:p>
        </w:tc>
      </w:tr>
      <w:tr w:rsidR="00E3316C" w:rsidRPr="00102618" w14:paraId="7D0D2D16" w14:textId="77777777">
        <w:tc>
          <w:tcPr>
            <w:tcW w:w="29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576CDC7F" w14:textId="77777777" w:rsidR="00E3316C" w:rsidRPr="00102618" w:rsidRDefault="00000000">
            <w:pPr>
              <w:rPr>
                <w:rFonts w:ascii="Garamond" w:hAnsi="Garamond"/>
                <w:sz w:val="24"/>
                <w:szCs w:val="24"/>
              </w:rPr>
            </w:pPr>
            <w:r w:rsidRPr="00102618">
              <w:rPr>
                <w:rFonts w:ascii="Garamond" w:hAnsi="Garamond"/>
                <w:sz w:val="24"/>
                <w:szCs w:val="24"/>
              </w:rPr>
              <w:t>Identity + entry</w:t>
            </w:r>
          </w:p>
        </w:tc>
        <w:tc>
          <w:tcPr>
            <w:tcW w:w="33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0653D433" w14:textId="77777777" w:rsidR="00E3316C" w:rsidRPr="00102618" w:rsidRDefault="00000000">
            <w:pPr>
              <w:rPr>
                <w:rFonts w:ascii="Garamond" w:hAnsi="Garamond"/>
                <w:sz w:val="24"/>
                <w:szCs w:val="24"/>
              </w:rPr>
            </w:pPr>
            <w:r w:rsidRPr="00102618">
              <w:rPr>
                <w:rFonts w:ascii="Garamond" w:hAnsi="Garamond"/>
                <w:sz w:val="24"/>
                <w:szCs w:val="24"/>
              </w:rPr>
              <w:t>Name, age, country of origin, date of arrival, and who is included in the case.</w:t>
            </w:r>
          </w:p>
        </w:tc>
        <w:tc>
          <w:tcPr>
            <w:tcW w:w="348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590056C2" w14:textId="77777777" w:rsidR="00E3316C" w:rsidRPr="00102618" w:rsidRDefault="00000000">
            <w:pPr>
              <w:rPr>
                <w:rFonts w:ascii="Garamond" w:hAnsi="Garamond"/>
                <w:sz w:val="24"/>
                <w:szCs w:val="24"/>
              </w:rPr>
            </w:pPr>
            <w:r w:rsidRPr="00102618">
              <w:rPr>
                <w:rFonts w:ascii="Garamond" w:hAnsi="Garamond"/>
                <w:sz w:val="24"/>
                <w:szCs w:val="24"/>
              </w:rPr>
              <w:t>Establishes the narrator and the filing context.</w:t>
            </w:r>
          </w:p>
        </w:tc>
      </w:tr>
      <w:tr w:rsidR="00E3316C" w:rsidRPr="00102618" w14:paraId="7242DC3D" w14:textId="77777777">
        <w:tc>
          <w:tcPr>
            <w:tcW w:w="29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7D87924F" w14:textId="77777777" w:rsidR="00E3316C" w:rsidRPr="00102618" w:rsidRDefault="00000000">
            <w:pPr>
              <w:rPr>
                <w:rFonts w:ascii="Garamond" w:hAnsi="Garamond"/>
                <w:sz w:val="24"/>
                <w:szCs w:val="24"/>
              </w:rPr>
            </w:pPr>
            <w:r w:rsidRPr="00102618">
              <w:rPr>
                <w:rFonts w:ascii="Garamond" w:hAnsi="Garamond"/>
                <w:sz w:val="24"/>
                <w:szCs w:val="24"/>
              </w:rPr>
              <w:t>Background and context</w:t>
            </w:r>
          </w:p>
        </w:tc>
        <w:tc>
          <w:tcPr>
            <w:tcW w:w="33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504E180" w14:textId="77777777" w:rsidR="00E3316C" w:rsidRPr="00102618" w:rsidRDefault="00000000">
            <w:pPr>
              <w:rPr>
                <w:rFonts w:ascii="Garamond" w:hAnsi="Garamond"/>
                <w:sz w:val="24"/>
                <w:szCs w:val="24"/>
              </w:rPr>
            </w:pPr>
            <w:r w:rsidRPr="00102618">
              <w:rPr>
                <w:rFonts w:ascii="Garamond" w:hAnsi="Garamond"/>
                <w:sz w:val="24"/>
                <w:szCs w:val="24"/>
              </w:rPr>
              <w:t>Family, community, schooling/work, important identities, political/religious/social context.</w:t>
            </w:r>
          </w:p>
        </w:tc>
        <w:tc>
          <w:tcPr>
            <w:tcW w:w="34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374BCEA2" w14:textId="77777777" w:rsidR="00E3316C" w:rsidRPr="00102618" w:rsidRDefault="00000000">
            <w:pPr>
              <w:rPr>
                <w:rFonts w:ascii="Garamond" w:hAnsi="Garamond"/>
                <w:sz w:val="24"/>
                <w:szCs w:val="24"/>
              </w:rPr>
            </w:pPr>
            <w:r w:rsidRPr="00102618">
              <w:rPr>
                <w:rFonts w:ascii="Garamond" w:hAnsi="Garamond"/>
                <w:sz w:val="24"/>
                <w:szCs w:val="24"/>
              </w:rPr>
              <w:t>Provides the "before" picture and helps the reader understand nexus and risk.</w:t>
            </w:r>
          </w:p>
        </w:tc>
      </w:tr>
      <w:tr w:rsidR="00E3316C" w:rsidRPr="00102618" w14:paraId="6B5E5CD6" w14:textId="77777777">
        <w:tc>
          <w:tcPr>
            <w:tcW w:w="29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0A0803A1" w14:textId="77777777" w:rsidR="00E3316C" w:rsidRPr="00102618" w:rsidRDefault="00000000">
            <w:pPr>
              <w:rPr>
                <w:rFonts w:ascii="Garamond" w:hAnsi="Garamond"/>
                <w:sz w:val="24"/>
                <w:szCs w:val="24"/>
              </w:rPr>
            </w:pPr>
            <w:r w:rsidRPr="00102618">
              <w:rPr>
                <w:rFonts w:ascii="Garamond" w:hAnsi="Garamond"/>
                <w:sz w:val="24"/>
                <w:szCs w:val="24"/>
              </w:rPr>
              <w:t>What happened</w:t>
            </w:r>
          </w:p>
        </w:tc>
        <w:tc>
          <w:tcPr>
            <w:tcW w:w="33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707FE784" w14:textId="77777777" w:rsidR="00E3316C" w:rsidRPr="00102618" w:rsidRDefault="00000000">
            <w:pPr>
              <w:rPr>
                <w:rFonts w:ascii="Garamond" w:hAnsi="Garamond"/>
                <w:sz w:val="24"/>
                <w:szCs w:val="24"/>
              </w:rPr>
            </w:pPr>
            <w:r w:rsidRPr="00102618">
              <w:rPr>
                <w:rFonts w:ascii="Garamond" w:hAnsi="Garamond"/>
                <w:sz w:val="24"/>
                <w:szCs w:val="24"/>
              </w:rPr>
              <w:t>First significant incident, worst incident, last incident, or another coherent event sequence.</w:t>
            </w:r>
          </w:p>
        </w:tc>
        <w:tc>
          <w:tcPr>
            <w:tcW w:w="348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75E19D59" w14:textId="77777777" w:rsidR="00E3316C" w:rsidRPr="00102618" w:rsidRDefault="00000000">
            <w:pPr>
              <w:rPr>
                <w:rFonts w:ascii="Garamond" w:hAnsi="Garamond"/>
                <w:sz w:val="24"/>
                <w:szCs w:val="24"/>
              </w:rPr>
            </w:pPr>
            <w:r w:rsidRPr="00102618">
              <w:rPr>
                <w:rFonts w:ascii="Garamond" w:hAnsi="Garamond"/>
                <w:sz w:val="24"/>
                <w:szCs w:val="24"/>
              </w:rPr>
              <w:t>Builds the harm narrative without requiring every detail at once.</w:t>
            </w:r>
          </w:p>
        </w:tc>
      </w:tr>
      <w:tr w:rsidR="00E3316C" w:rsidRPr="00102618" w14:paraId="5164DD5B" w14:textId="77777777">
        <w:tc>
          <w:tcPr>
            <w:tcW w:w="29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1E1C612D" w14:textId="77777777" w:rsidR="00E3316C" w:rsidRPr="00102618" w:rsidRDefault="00000000">
            <w:pPr>
              <w:rPr>
                <w:rFonts w:ascii="Garamond" w:hAnsi="Garamond"/>
                <w:sz w:val="24"/>
                <w:szCs w:val="24"/>
              </w:rPr>
            </w:pPr>
            <w:r w:rsidRPr="00102618">
              <w:rPr>
                <w:rFonts w:ascii="Garamond" w:hAnsi="Garamond"/>
                <w:sz w:val="24"/>
                <w:szCs w:val="24"/>
              </w:rPr>
              <w:t>Why I believe I was targeted</w:t>
            </w:r>
          </w:p>
        </w:tc>
        <w:tc>
          <w:tcPr>
            <w:tcW w:w="33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41C8B052" w14:textId="77777777" w:rsidR="00E3316C" w:rsidRPr="00102618" w:rsidRDefault="00000000">
            <w:pPr>
              <w:rPr>
                <w:rFonts w:ascii="Garamond" w:hAnsi="Garamond"/>
                <w:sz w:val="24"/>
                <w:szCs w:val="24"/>
              </w:rPr>
            </w:pPr>
            <w:r w:rsidRPr="00102618">
              <w:rPr>
                <w:rFonts w:ascii="Garamond" w:hAnsi="Garamond"/>
                <w:sz w:val="24"/>
                <w:szCs w:val="24"/>
              </w:rPr>
              <w:t>What was said, done, signaled, or known that links the harm to a protected ground.</w:t>
            </w:r>
          </w:p>
        </w:tc>
        <w:tc>
          <w:tcPr>
            <w:tcW w:w="34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4B2123BD" w14:textId="77777777" w:rsidR="00E3316C" w:rsidRPr="00102618" w:rsidRDefault="00000000">
            <w:pPr>
              <w:rPr>
                <w:rFonts w:ascii="Garamond" w:hAnsi="Garamond"/>
                <w:sz w:val="24"/>
                <w:szCs w:val="24"/>
              </w:rPr>
            </w:pPr>
            <w:r w:rsidRPr="00102618">
              <w:rPr>
                <w:rFonts w:ascii="Garamond" w:hAnsi="Garamond"/>
                <w:sz w:val="24"/>
                <w:szCs w:val="24"/>
              </w:rPr>
              <w:t>Makes nexus visible rather than implied.</w:t>
            </w:r>
          </w:p>
        </w:tc>
      </w:tr>
      <w:tr w:rsidR="00E3316C" w:rsidRPr="00102618" w14:paraId="3BB58DF1" w14:textId="77777777">
        <w:tc>
          <w:tcPr>
            <w:tcW w:w="29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258CC1C7" w14:textId="77777777" w:rsidR="00E3316C" w:rsidRPr="00102618" w:rsidRDefault="00000000">
            <w:pPr>
              <w:rPr>
                <w:rFonts w:ascii="Garamond" w:hAnsi="Garamond"/>
                <w:sz w:val="24"/>
                <w:szCs w:val="24"/>
              </w:rPr>
            </w:pPr>
            <w:r w:rsidRPr="00102618">
              <w:rPr>
                <w:rFonts w:ascii="Garamond" w:hAnsi="Garamond"/>
                <w:sz w:val="24"/>
                <w:szCs w:val="24"/>
              </w:rPr>
              <w:lastRenderedPageBreak/>
              <w:t>Reporting / no reporting</w:t>
            </w:r>
          </w:p>
        </w:tc>
        <w:tc>
          <w:tcPr>
            <w:tcW w:w="33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23F2C157" w14:textId="77777777" w:rsidR="00E3316C" w:rsidRPr="00102618" w:rsidRDefault="00000000">
            <w:pPr>
              <w:rPr>
                <w:rFonts w:ascii="Garamond" w:hAnsi="Garamond"/>
                <w:sz w:val="24"/>
                <w:szCs w:val="24"/>
              </w:rPr>
            </w:pPr>
            <w:r w:rsidRPr="00102618">
              <w:rPr>
                <w:rFonts w:ascii="Garamond" w:hAnsi="Garamond"/>
                <w:sz w:val="24"/>
                <w:szCs w:val="24"/>
              </w:rPr>
              <w:t>Whether the client sought help and why they did or did not.</w:t>
            </w:r>
          </w:p>
        </w:tc>
        <w:tc>
          <w:tcPr>
            <w:tcW w:w="348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32EFFC79" w14:textId="77777777" w:rsidR="00E3316C" w:rsidRPr="00102618" w:rsidRDefault="00000000">
            <w:pPr>
              <w:rPr>
                <w:rFonts w:ascii="Garamond" w:hAnsi="Garamond"/>
                <w:sz w:val="24"/>
                <w:szCs w:val="24"/>
              </w:rPr>
            </w:pPr>
            <w:r w:rsidRPr="00102618">
              <w:rPr>
                <w:rFonts w:ascii="Garamond" w:hAnsi="Garamond"/>
                <w:sz w:val="24"/>
                <w:szCs w:val="24"/>
              </w:rPr>
              <w:t>Addresses state protection and non-reporting without speculation.</w:t>
            </w:r>
          </w:p>
        </w:tc>
      </w:tr>
      <w:tr w:rsidR="00E3316C" w:rsidRPr="00102618" w14:paraId="08303C82" w14:textId="77777777">
        <w:tc>
          <w:tcPr>
            <w:tcW w:w="29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3F13242D" w14:textId="77777777" w:rsidR="00E3316C" w:rsidRPr="00102618" w:rsidRDefault="00000000">
            <w:pPr>
              <w:rPr>
                <w:rFonts w:ascii="Garamond" w:hAnsi="Garamond"/>
                <w:sz w:val="24"/>
                <w:szCs w:val="24"/>
              </w:rPr>
            </w:pPr>
            <w:r w:rsidRPr="00102618">
              <w:rPr>
                <w:rFonts w:ascii="Garamond" w:hAnsi="Garamond"/>
                <w:sz w:val="24"/>
                <w:szCs w:val="24"/>
              </w:rPr>
              <w:t>Relocation and flight</w:t>
            </w:r>
          </w:p>
        </w:tc>
        <w:tc>
          <w:tcPr>
            <w:tcW w:w="33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C5FB314" w14:textId="77777777" w:rsidR="00E3316C" w:rsidRPr="00102618" w:rsidRDefault="00000000">
            <w:pPr>
              <w:rPr>
                <w:rFonts w:ascii="Garamond" w:hAnsi="Garamond"/>
                <w:sz w:val="24"/>
                <w:szCs w:val="24"/>
              </w:rPr>
            </w:pPr>
            <w:r w:rsidRPr="00102618">
              <w:rPr>
                <w:rFonts w:ascii="Garamond" w:hAnsi="Garamond"/>
                <w:sz w:val="24"/>
                <w:szCs w:val="24"/>
              </w:rPr>
              <w:t>Whether the client moved, hid, or tried to relocate and what happened.</w:t>
            </w:r>
          </w:p>
        </w:tc>
        <w:tc>
          <w:tcPr>
            <w:tcW w:w="34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E65F336" w14:textId="77777777" w:rsidR="00E3316C" w:rsidRPr="00102618" w:rsidRDefault="00000000">
            <w:pPr>
              <w:rPr>
                <w:rFonts w:ascii="Garamond" w:hAnsi="Garamond"/>
                <w:sz w:val="24"/>
                <w:szCs w:val="24"/>
              </w:rPr>
            </w:pPr>
            <w:r w:rsidRPr="00102618">
              <w:rPr>
                <w:rFonts w:ascii="Garamond" w:hAnsi="Garamond"/>
                <w:sz w:val="24"/>
                <w:szCs w:val="24"/>
              </w:rPr>
              <w:t>Supports relocation analysis and return-risk logic.</w:t>
            </w:r>
          </w:p>
        </w:tc>
      </w:tr>
      <w:tr w:rsidR="00E3316C" w:rsidRPr="00102618" w14:paraId="5D76E724" w14:textId="77777777">
        <w:tc>
          <w:tcPr>
            <w:tcW w:w="29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3D8DEB31" w14:textId="77777777" w:rsidR="00E3316C" w:rsidRPr="00102618" w:rsidRDefault="00000000">
            <w:pPr>
              <w:rPr>
                <w:rFonts w:ascii="Garamond" w:hAnsi="Garamond"/>
                <w:sz w:val="24"/>
                <w:szCs w:val="24"/>
              </w:rPr>
            </w:pPr>
            <w:r w:rsidRPr="00102618">
              <w:rPr>
                <w:rFonts w:ascii="Garamond" w:hAnsi="Garamond"/>
                <w:sz w:val="24"/>
                <w:szCs w:val="24"/>
              </w:rPr>
              <w:t>After I left / current fear</w:t>
            </w:r>
          </w:p>
        </w:tc>
        <w:tc>
          <w:tcPr>
            <w:tcW w:w="33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088497D6" w14:textId="77777777" w:rsidR="00E3316C" w:rsidRPr="00102618" w:rsidRDefault="00000000">
            <w:pPr>
              <w:rPr>
                <w:rFonts w:ascii="Garamond" w:hAnsi="Garamond"/>
                <w:sz w:val="24"/>
                <w:szCs w:val="24"/>
              </w:rPr>
            </w:pPr>
            <w:r w:rsidRPr="00102618">
              <w:rPr>
                <w:rFonts w:ascii="Garamond" w:hAnsi="Garamond"/>
                <w:sz w:val="24"/>
                <w:szCs w:val="24"/>
              </w:rPr>
              <w:t>What happened after departure, threats to family or similarly situated people, and why return remains unsafe.</w:t>
            </w:r>
          </w:p>
        </w:tc>
        <w:tc>
          <w:tcPr>
            <w:tcW w:w="348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61C1A8D5" w14:textId="77777777" w:rsidR="00E3316C" w:rsidRPr="00102618" w:rsidRDefault="00000000">
            <w:pPr>
              <w:rPr>
                <w:rFonts w:ascii="Garamond" w:hAnsi="Garamond"/>
                <w:sz w:val="24"/>
                <w:szCs w:val="24"/>
              </w:rPr>
            </w:pPr>
            <w:r w:rsidRPr="00102618">
              <w:rPr>
                <w:rFonts w:ascii="Garamond" w:hAnsi="Garamond"/>
                <w:sz w:val="24"/>
                <w:szCs w:val="24"/>
              </w:rPr>
              <w:t>Connects past harm to current fear.</w:t>
            </w:r>
          </w:p>
        </w:tc>
      </w:tr>
      <w:tr w:rsidR="00E3316C" w:rsidRPr="00102618" w14:paraId="33467717" w14:textId="77777777">
        <w:tc>
          <w:tcPr>
            <w:tcW w:w="29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358E4245" w14:textId="77777777" w:rsidR="00E3316C" w:rsidRPr="00102618" w:rsidRDefault="00000000">
            <w:pPr>
              <w:rPr>
                <w:rFonts w:ascii="Garamond" w:hAnsi="Garamond"/>
                <w:sz w:val="24"/>
                <w:szCs w:val="24"/>
              </w:rPr>
            </w:pPr>
            <w:r w:rsidRPr="00102618">
              <w:rPr>
                <w:rFonts w:ascii="Garamond" w:hAnsi="Garamond"/>
                <w:sz w:val="24"/>
                <w:szCs w:val="24"/>
              </w:rPr>
              <w:t>Short note on delay or disclosure barrier if needed</w:t>
            </w:r>
          </w:p>
        </w:tc>
        <w:tc>
          <w:tcPr>
            <w:tcW w:w="33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D912403" w14:textId="77777777" w:rsidR="00E3316C" w:rsidRPr="00102618" w:rsidRDefault="00000000">
            <w:pPr>
              <w:rPr>
                <w:rFonts w:ascii="Garamond" w:hAnsi="Garamond"/>
                <w:sz w:val="24"/>
                <w:szCs w:val="24"/>
              </w:rPr>
            </w:pPr>
            <w:r w:rsidRPr="00102618">
              <w:rPr>
                <w:rFonts w:ascii="Garamond" w:hAnsi="Garamond"/>
                <w:sz w:val="24"/>
                <w:szCs w:val="24"/>
              </w:rPr>
              <w:t>A restrained explanation if a fact emerged late or was hard to tell.</w:t>
            </w:r>
          </w:p>
        </w:tc>
        <w:tc>
          <w:tcPr>
            <w:tcW w:w="34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341F63DA" w14:textId="77777777" w:rsidR="00E3316C" w:rsidRPr="00102618" w:rsidRDefault="00000000">
            <w:pPr>
              <w:rPr>
                <w:rFonts w:ascii="Garamond" w:hAnsi="Garamond"/>
                <w:sz w:val="24"/>
                <w:szCs w:val="24"/>
              </w:rPr>
            </w:pPr>
            <w:r w:rsidRPr="00102618">
              <w:rPr>
                <w:rFonts w:ascii="Garamond" w:hAnsi="Garamond"/>
                <w:sz w:val="24"/>
                <w:szCs w:val="24"/>
              </w:rPr>
              <w:t>Preempts misreading without medicalizing the narrative.</w:t>
            </w:r>
          </w:p>
        </w:tc>
      </w:tr>
    </w:tbl>
    <w:p w14:paraId="31537F7A" w14:textId="77777777" w:rsidR="00E3316C" w:rsidRPr="00102618" w:rsidRDefault="00000000">
      <w:pPr>
        <w:rPr>
          <w:rFonts w:ascii="Garamond" w:hAnsi="Garamond"/>
          <w:sz w:val="24"/>
          <w:szCs w:val="24"/>
        </w:rPr>
      </w:pPr>
      <w:r w:rsidRPr="00102618">
        <w:rPr>
          <w:rFonts w:ascii="Garamond" w:hAnsi="Garamond"/>
          <w:sz w:val="24"/>
          <w:szCs w:val="24"/>
        </w:rPr>
        <w:br w:type="page"/>
      </w:r>
    </w:p>
    <w:p w14:paraId="6B4E4827" w14:textId="77777777" w:rsidR="00E3316C" w:rsidRPr="00102618" w:rsidRDefault="00000000">
      <w:pPr>
        <w:pStyle w:val="Heading1"/>
        <w:shd w:val="clear" w:color="auto" w:fill="1F3864"/>
        <w:ind w:left="140"/>
        <w:rPr>
          <w:rFonts w:ascii="Garamond" w:hAnsi="Garamond"/>
          <w:sz w:val="24"/>
          <w:szCs w:val="24"/>
        </w:rPr>
      </w:pPr>
      <w:r w:rsidRPr="00102618">
        <w:rPr>
          <w:rFonts w:ascii="Garamond" w:hAnsi="Garamond"/>
          <w:sz w:val="24"/>
          <w:szCs w:val="24"/>
        </w:rPr>
        <w:lastRenderedPageBreak/>
        <w:t>Appendix C. Blank Declaration Template</w:t>
      </w:r>
    </w:p>
    <w:p w14:paraId="35330265" w14:textId="77777777" w:rsidR="00E3316C" w:rsidRPr="00102618" w:rsidRDefault="00E3316C">
      <w:pPr>
        <w:spacing w:before="60" w:after="60"/>
        <w:rPr>
          <w:rFonts w:ascii="Garamond" w:hAnsi="Garamond"/>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3316C" w:rsidRPr="00102618" w14:paraId="05742584" w14:textId="77777777">
        <w:tc>
          <w:tcPr>
            <w:tcW w:w="9360" w:type="dxa"/>
            <w:tcBorders>
              <w:top w:val="single" w:sz="8" w:space="0" w:color="1F3864"/>
              <w:left w:val="single" w:sz="8" w:space="0" w:color="1F3864"/>
              <w:bottom w:val="single" w:sz="4" w:space="0" w:color="1F3864"/>
              <w:right w:val="single" w:sz="8" w:space="0" w:color="1F3864"/>
            </w:tcBorders>
            <w:shd w:val="clear" w:color="auto" w:fill="D6E4F0"/>
            <w:tcMar>
              <w:top w:w="120" w:type="dxa"/>
              <w:left w:w="160" w:type="dxa"/>
              <w:bottom w:w="120" w:type="dxa"/>
              <w:right w:w="160" w:type="dxa"/>
            </w:tcMar>
          </w:tcPr>
          <w:p w14:paraId="00EFAAB2" w14:textId="77777777" w:rsidR="00E3316C" w:rsidRPr="00102618" w:rsidRDefault="00000000">
            <w:pPr>
              <w:spacing w:after="120"/>
              <w:rPr>
                <w:rFonts w:ascii="Garamond" w:hAnsi="Garamond"/>
                <w:sz w:val="24"/>
                <w:szCs w:val="24"/>
              </w:rPr>
            </w:pPr>
            <w:r w:rsidRPr="00102618">
              <w:rPr>
                <w:rFonts w:ascii="Garamond" w:hAnsi="Garamond"/>
                <w:b/>
                <w:bCs/>
                <w:sz w:val="24"/>
                <w:szCs w:val="24"/>
              </w:rPr>
              <w:t xml:space="preserve">Purpose.  </w:t>
            </w:r>
            <w:r w:rsidRPr="00102618">
              <w:rPr>
                <w:rFonts w:ascii="Garamond" w:hAnsi="Garamond"/>
                <w:sz w:val="24"/>
                <w:szCs w:val="24"/>
              </w:rPr>
              <w:t>This appendix provides a blank, fillable declaration template corresponding to the architecture in Appendix B. It is a drafting aid—a starting structure—not a finished product. Every section must be rewritten in the client's own voice, with specific facts replacing the bracketed placeholders. Do not submit this template without thorough revision.</w:t>
            </w:r>
          </w:p>
        </w:tc>
      </w:tr>
    </w:tbl>
    <w:p w14:paraId="6A7497B8" w14:textId="77777777" w:rsidR="00E3316C" w:rsidRPr="00B72171" w:rsidRDefault="00000000">
      <w:pPr>
        <w:pStyle w:val="Heading3"/>
        <w:rPr>
          <w:rFonts w:ascii="Garamond" w:hAnsi="Garamond"/>
          <w:color w:val="000000" w:themeColor="text1"/>
          <w:sz w:val="24"/>
          <w:szCs w:val="24"/>
        </w:rPr>
      </w:pPr>
      <w:r w:rsidRPr="00B72171">
        <w:rPr>
          <w:rFonts w:ascii="Garamond" w:hAnsi="Garamond"/>
          <w:color w:val="000000" w:themeColor="text1"/>
          <w:sz w:val="24"/>
          <w:szCs w:val="24"/>
        </w:rPr>
        <w:t>Use This Appendix When</w:t>
      </w:r>
    </w:p>
    <w:p w14:paraId="15ED5B9E" w14:textId="77777777" w:rsidR="00E3316C" w:rsidRPr="00B72171" w:rsidRDefault="00000000">
      <w:pPr>
        <w:pStyle w:val="ListParagraph"/>
        <w:numPr>
          <w:ilvl w:val="0"/>
          <w:numId w:val="2"/>
        </w:numPr>
        <w:spacing w:after="60"/>
        <w:rPr>
          <w:rFonts w:ascii="Garamond" w:hAnsi="Garamond"/>
          <w:color w:val="000000" w:themeColor="text1"/>
          <w:sz w:val="24"/>
          <w:szCs w:val="24"/>
        </w:rPr>
      </w:pPr>
      <w:r w:rsidRPr="00B72171">
        <w:rPr>
          <w:rFonts w:ascii="Garamond" w:hAnsi="Garamond"/>
          <w:color w:val="000000" w:themeColor="text1"/>
          <w:sz w:val="24"/>
          <w:szCs w:val="24"/>
        </w:rPr>
        <w:t>Beginning a new declaration and needing a structural starting point.</w:t>
      </w:r>
    </w:p>
    <w:p w14:paraId="4DE073D8" w14:textId="77777777" w:rsidR="00E3316C" w:rsidRPr="00B72171" w:rsidRDefault="00000000">
      <w:pPr>
        <w:pStyle w:val="ListParagraph"/>
        <w:numPr>
          <w:ilvl w:val="0"/>
          <w:numId w:val="2"/>
        </w:numPr>
        <w:spacing w:after="60"/>
        <w:rPr>
          <w:rFonts w:ascii="Garamond" w:hAnsi="Garamond"/>
          <w:color w:val="000000" w:themeColor="text1"/>
          <w:sz w:val="24"/>
          <w:szCs w:val="24"/>
        </w:rPr>
      </w:pPr>
      <w:r w:rsidRPr="00B72171">
        <w:rPr>
          <w:rFonts w:ascii="Garamond" w:hAnsi="Garamond"/>
          <w:color w:val="000000" w:themeColor="text1"/>
          <w:sz w:val="24"/>
          <w:szCs w:val="24"/>
        </w:rPr>
        <w:t>Coaching a client or supervised volunteer on what a declaration requires.</w:t>
      </w:r>
    </w:p>
    <w:p w14:paraId="36C90F32" w14:textId="77777777" w:rsidR="00E3316C" w:rsidRPr="00B72171" w:rsidRDefault="00000000">
      <w:pPr>
        <w:pStyle w:val="ListParagraph"/>
        <w:numPr>
          <w:ilvl w:val="0"/>
          <w:numId w:val="2"/>
        </w:numPr>
        <w:spacing w:after="60"/>
        <w:rPr>
          <w:rFonts w:ascii="Garamond" w:hAnsi="Garamond"/>
          <w:color w:val="000000" w:themeColor="text1"/>
          <w:sz w:val="24"/>
          <w:szCs w:val="24"/>
        </w:rPr>
      </w:pPr>
      <w:r w:rsidRPr="00B72171">
        <w:rPr>
          <w:rFonts w:ascii="Garamond" w:hAnsi="Garamond"/>
          <w:color w:val="000000" w:themeColor="text1"/>
          <w:sz w:val="24"/>
          <w:szCs w:val="24"/>
        </w:rPr>
        <w:t>Providing a visual framework to the client in plain language during a meeting.</w:t>
      </w:r>
    </w:p>
    <w:p w14:paraId="176305B9" w14:textId="77777777" w:rsidR="00E3316C" w:rsidRPr="00B72171" w:rsidRDefault="00000000">
      <w:pPr>
        <w:pStyle w:val="Heading3"/>
        <w:rPr>
          <w:rFonts w:ascii="Garamond" w:hAnsi="Garamond"/>
          <w:color w:val="000000" w:themeColor="text1"/>
          <w:sz w:val="24"/>
          <w:szCs w:val="24"/>
        </w:rPr>
      </w:pPr>
      <w:r w:rsidRPr="00B72171">
        <w:rPr>
          <w:rFonts w:ascii="Garamond" w:hAnsi="Garamond"/>
          <w:color w:val="000000" w:themeColor="text1"/>
          <w:sz w:val="24"/>
          <w:szCs w:val="24"/>
        </w:rPr>
        <w:t>Practice Note</w:t>
      </w:r>
    </w:p>
    <w:p w14:paraId="4CDF5B21" w14:textId="77777777" w:rsidR="00E3316C" w:rsidRPr="00B72171" w:rsidRDefault="00000000">
      <w:pPr>
        <w:spacing w:after="120"/>
        <w:rPr>
          <w:rFonts w:ascii="Garamond" w:hAnsi="Garamond"/>
          <w:color w:val="000000" w:themeColor="text1"/>
          <w:sz w:val="24"/>
          <w:szCs w:val="24"/>
        </w:rPr>
      </w:pPr>
      <w:r w:rsidRPr="00B72171">
        <w:rPr>
          <w:rFonts w:ascii="Garamond" w:hAnsi="Garamond"/>
          <w:color w:val="000000" w:themeColor="text1"/>
          <w:sz w:val="24"/>
          <w:szCs w:val="24"/>
        </w:rPr>
        <w:t>This template uses bracketed placeholders. All placeholders must be replaced with case-specific language before filing. Refer to Section 11 (Affidavit and Narrative Review Toolkit) to review the completed draft before submission.</w:t>
      </w:r>
    </w:p>
    <w:p w14:paraId="2FB7E16C" w14:textId="77777777" w:rsidR="00E3316C" w:rsidRPr="00B72171" w:rsidRDefault="00E3316C">
      <w:pPr>
        <w:spacing w:before="60" w:after="60"/>
        <w:rPr>
          <w:rFonts w:ascii="Garamond" w:hAnsi="Garamond"/>
          <w:color w:val="000000" w:themeColor="text1"/>
          <w:sz w:val="24"/>
          <w:szCs w:val="24"/>
        </w:rPr>
      </w:pPr>
    </w:p>
    <w:p w14:paraId="3C4FBD4F" w14:textId="77777777" w:rsidR="00E3316C" w:rsidRPr="00B72171" w:rsidRDefault="00000000">
      <w:pPr>
        <w:spacing w:after="120"/>
        <w:rPr>
          <w:rFonts w:ascii="Garamond" w:hAnsi="Garamond"/>
          <w:color w:val="000000" w:themeColor="text1"/>
          <w:sz w:val="24"/>
          <w:szCs w:val="24"/>
        </w:rPr>
      </w:pPr>
      <w:r w:rsidRPr="00B72171">
        <w:rPr>
          <w:rFonts w:ascii="Garamond" w:hAnsi="Garamond"/>
          <w:color w:val="000000" w:themeColor="text1"/>
          <w:sz w:val="24"/>
          <w:szCs w:val="24"/>
        </w:rPr>
        <w:t>I, [full name], declare under penalty of perjury under the laws of the United States that the following is true and correct to the best of my knowledge. I make this declaration in support of my application for asylum and related protection.</w:t>
      </w:r>
    </w:p>
    <w:p w14:paraId="56B1B395" w14:textId="77777777" w:rsidR="00E3316C" w:rsidRPr="00B72171" w:rsidRDefault="00000000">
      <w:pPr>
        <w:spacing w:after="120"/>
        <w:rPr>
          <w:rFonts w:ascii="Garamond" w:hAnsi="Garamond"/>
          <w:color w:val="000000" w:themeColor="text1"/>
          <w:sz w:val="24"/>
          <w:szCs w:val="24"/>
        </w:rPr>
      </w:pPr>
      <w:r w:rsidRPr="00B72171">
        <w:rPr>
          <w:rFonts w:ascii="Garamond" w:hAnsi="Garamond"/>
          <w:color w:val="000000" w:themeColor="text1"/>
          <w:sz w:val="24"/>
          <w:szCs w:val="24"/>
        </w:rPr>
        <w:t>1. My name is [name]. I am [age] years old and I am from [country / region]. I arrived in the United States on [date / approximate date] through [location].</w:t>
      </w:r>
    </w:p>
    <w:p w14:paraId="7A434A3F" w14:textId="77777777" w:rsidR="00E3316C" w:rsidRPr="00B72171" w:rsidRDefault="00000000">
      <w:pPr>
        <w:spacing w:after="120"/>
        <w:rPr>
          <w:rFonts w:ascii="Garamond" w:hAnsi="Garamond"/>
          <w:color w:val="000000" w:themeColor="text1"/>
          <w:sz w:val="24"/>
          <w:szCs w:val="24"/>
        </w:rPr>
      </w:pPr>
      <w:r w:rsidRPr="00B72171">
        <w:rPr>
          <w:rFonts w:ascii="Garamond" w:hAnsi="Garamond"/>
          <w:color w:val="000000" w:themeColor="text1"/>
          <w:sz w:val="24"/>
          <w:szCs w:val="24"/>
        </w:rPr>
        <w:t>2. Before the harm began, my life looked like this: [background, family, school, work, community, identities, beliefs, or roles that matter to the claim].</w:t>
      </w:r>
    </w:p>
    <w:p w14:paraId="02843B0B" w14:textId="77777777" w:rsidR="00E3316C" w:rsidRPr="00B72171" w:rsidRDefault="00000000">
      <w:pPr>
        <w:spacing w:after="120"/>
        <w:rPr>
          <w:rFonts w:ascii="Garamond" w:hAnsi="Garamond"/>
          <w:color w:val="000000" w:themeColor="text1"/>
          <w:sz w:val="24"/>
          <w:szCs w:val="24"/>
        </w:rPr>
      </w:pPr>
      <w:r w:rsidRPr="00B72171">
        <w:rPr>
          <w:rFonts w:ascii="Garamond" w:hAnsi="Garamond"/>
          <w:color w:val="000000" w:themeColor="text1"/>
          <w:sz w:val="24"/>
          <w:szCs w:val="24"/>
        </w:rPr>
        <w:t>3. The people, groups, or authorities that mattered in my story were: [who they were and why].</w:t>
      </w:r>
    </w:p>
    <w:p w14:paraId="25D9B48B" w14:textId="77777777" w:rsidR="00E3316C" w:rsidRPr="00B72171" w:rsidRDefault="00000000">
      <w:pPr>
        <w:spacing w:after="120"/>
        <w:rPr>
          <w:rFonts w:ascii="Garamond" w:hAnsi="Garamond"/>
          <w:color w:val="000000" w:themeColor="text1"/>
          <w:sz w:val="24"/>
          <w:szCs w:val="24"/>
        </w:rPr>
      </w:pPr>
      <w:r w:rsidRPr="00B72171">
        <w:rPr>
          <w:rFonts w:ascii="Garamond" w:hAnsi="Garamond"/>
          <w:color w:val="000000" w:themeColor="text1"/>
          <w:sz w:val="24"/>
          <w:szCs w:val="24"/>
        </w:rPr>
        <w:t>4. What happened to me began when [first incident or first meaningful change].</w:t>
      </w:r>
    </w:p>
    <w:p w14:paraId="2BEFFE09" w14:textId="77777777" w:rsidR="00E3316C" w:rsidRPr="00B72171" w:rsidRDefault="00000000">
      <w:pPr>
        <w:spacing w:after="120"/>
        <w:rPr>
          <w:rFonts w:ascii="Garamond" w:hAnsi="Garamond"/>
          <w:color w:val="000000" w:themeColor="text1"/>
          <w:sz w:val="24"/>
          <w:szCs w:val="24"/>
        </w:rPr>
      </w:pPr>
      <w:r w:rsidRPr="00B72171">
        <w:rPr>
          <w:rFonts w:ascii="Garamond" w:hAnsi="Garamond"/>
          <w:color w:val="000000" w:themeColor="text1"/>
          <w:sz w:val="24"/>
          <w:szCs w:val="24"/>
        </w:rPr>
        <w:t>5. The most important things that happened were: [first / worst / last or another coherent structure].</w:t>
      </w:r>
    </w:p>
    <w:p w14:paraId="30F158F7" w14:textId="77777777" w:rsidR="00E3316C" w:rsidRPr="00B72171" w:rsidRDefault="00000000">
      <w:pPr>
        <w:spacing w:after="120"/>
        <w:rPr>
          <w:rFonts w:ascii="Garamond" w:hAnsi="Garamond"/>
          <w:color w:val="000000" w:themeColor="text1"/>
          <w:sz w:val="24"/>
          <w:szCs w:val="24"/>
        </w:rPr>
      </w:pPr>
      <w:r w:rsidRPr="00B72171">
        <w:rPr>
          <w:rFonts w:ascii="Garamond" w:hAnsi="Garamond"/>
          <w:color w:val="000000" w:themeColor="text1"/>
          <w:sz w:val="24"/>
          <w:szCs w:val="24"/>
        </w:rPr>
        <w:t>6. I believe I was targeted because [protected ground / social group / political opinion / religion / nationality / family / identity explanation].</w:t>
      </w:r>
    </w:p>
    <w:p w14:paraId="35EED053" w14:textId="77777777" w:rsidR="00E3316C" w:rsidRPr="00B72171" w:rsidRDefault="00000000">
      <w:pPr>
        <w:spacing w:after="120"/>
        <w:rPr>
          <w:rFonts w:ascii="Garamond" w:hAnsi="Garamond"/>
          <w:color w:val="000000" w:themeColor="text1"/>
          <w:sz w:val="24"/>
          <w:szCs w:val="24"/>
        </w:rPr>
      </w:pPr>
      <w:r w:rsidRPr="00B72171">
        <w:rPr>
          <w:rFonts w:ascii="Garamond" w:hAnsi="Garamond"/>
          <w:color w:val="000000" w:themeColor="text1"/>
          <w:sz w:val="24"/>
          <w:szCs w:val="24"/>
        </w:rPr>
        <w:t>7. I [did / did not] seek help from police, authorities, family, community, or others because [why / why not].</w:t>
      </w:r>
    </w:p>
    <w:p w14:paraId="25BADCC4" w14:textId="77777777" w:rsidR="00E3316C" w:rsidRPr="00B72171" w:rsidRDefault="00000000">
      <w:pPr>
        <w:spacing w:after="120"/>
        <w:rPr>
          <w:rFonts w:ascii="Garamond" w:hAnsi="Garamond"/>
          <w:color w:val="000000" w:themeColor="text1"/>
          <w:sz w:val="24"/>
          <w:szCs w:val="24"/>
        </w:rPr>
      </w:pPr>
      <w:r w:rsidRPr="00B72171">
        <w:rPr>
          <w:rFonts w:ascii="Garamond" w:hAnsi="Garamond"/>
          <w:color w:val="000000" w:themeColor="text1"/>
          <w:sz w:val="24"/>
          <w:szCs w:val="24"/>
        </w:rPr>
        <w:t>8. I [did / did not] try to relocate or hide before leaving because [what happened / why it was not safe or feasible].</w:t>
      </w:r>
    </w:p>
    <w:p w14:paraId="0CB4122A" w14:textId="77777777" w:rsidR="00E3316C" w:rsidRPr="00B72171" w:rsidRDefault="00000000">
      <w:pPr>
        <w:spacing w:after="120"/>
        <w:rPr>
          <w:rFonts w:ascii="Garamond" w:hAnsi="Garamond"/>
          <w:color w:val="000000" w:themeColor="text1"/>
          <w:sz w:val="24"/>
          <w:szCs w:val="24"/>
        </w:rPr>
      </w:pPr>
      <w:r w:rsidRPr="00B72171">
        <w:rPr>
          <w:rFonts w:ascii="Garamond" w:hAnsi="Garamond"/>
          <w:color w:val="000000" w:themeColor="text1"/>
          <w:sz w:val="24"/>
          <w:szCs w:val="24"/>
        </w:rPr>
        <w:t>9. Since I left, [what has happened to family, similarly situated people, or the conditions in the place of return].</w:t>
      </w:r>
    </w:p>
    <w:p w14:paraId="73298941" w14:textId="77777777" w:rsidR="00E3316C" w:rsidRPr="00B72171" w:rsidRDefault="00000000">
      <w:pPr>
        <w:spacing w:after="120"/>
        <w:rPr>
          <w:rFonts w:ascii="Garamond" w:hAnsi="Garamond"/>
          <w:color w:val="000000" w:themeColor="text1"/>
          <w:sz w:val="24"/>
          <w:szCs w:val="24"/>
        </w:rPr>
      </w:pPr>
      <w:r w:rsidRPr="00B72171">
        <w:rPr>
          <w:rFonts w:ascii="Garamond" w:hAnsi="Garamond"/>
          <w:color w:val="000000" w:themeColor="text1"/>
          <w:sz w:val="24"/>
          <w:szCs w:val="24"/>
        </w:rPr>
        <w:t>10. I fear that if I return, [future fear].</w:t>
      </w:r>
    </w:p>
    <w:p w14:paraId="22DCD890" w14:textId="081BBFF9" w:rsidR="00E3316C" w:rsidRPr="00B72171" w:rsidRDefault="00000000">
      <w:pPr>
        <w:spacing w:after="120"/>
        <w:rPr>
          <w:rFonts w:ascii="Garamond" w:hAnsi="Garamond"/>
          <w:color w:val="000000" w:themeColor="text1"/>
          <w:sz w:val="24"/>
          <w:szCs w:val="24"/>
        </w:rPr>
      </w:pPr>
      <w:r w:rsidRPr="00B72171">
        <w:rPr>
          <w:rFonts w:ascii="Garamond" w:hAnsi="Garamond"/>
          <w:color w:val="000000" w:themeColor="text1"/>
          <w:sz w:val="24"/>
          <w:szCs w:val="24"/>
        </w:rPr>
        <w:t>11. [If needed] Some details were difficult to discuss earlier because [brief neutral explanation].</w:t>
      </w:r>
      <w:r w:rsidR="00102618" w:rsidRPr="00B72171">
        <w:rPr>
          <w:rFonts w:ascii="Garamond" w:hAnsi="Garamond"/>
          <w:color w:val="000000" w:themeColor="text1"/>
          <w:sz w:val="24"/>
          <w:szCs w:val="24"/>
        </w:rPr>
        <w:t xml:space="preserve">     </w:t>
      </w:r>
      <w:r w:rsidRPr="00B72171">
        <w:rPr>
          <w:rFonts w:ascii="Garamond" w:hAnsi="Garamond"/>
          <w:color w:val="000000" w:themeColor="text1"/>
          <w:sz w:val="24"/>
          <w:szCs w:val="24"/>
        </w:rPr>
        <w:t xml:space="preserve">[Signature </w:t>
      </w:r>
      <w:proofErr w:type="gramStart"/>
      <w:r w:rsidRPr="00B72171">
        <w:rPr>
          <w:rFonts w:ascii="Garamond" w:hAnsi="Garamond"/>
          <w:color w:val="000000" w:themeColor="text1"/>
          <w:sz w:val="24"/>
          <w:szCs w:val="24"/>
        </w:rPr>
        <w:t xml:space="preserve">line]   </w:t>
      </w:r>
      <w:proofErr w:type="gramEnd"/>
      <w:r w:rsidRPr="00B72171">
        <w:rPr>
          <w:rFonts w:ascii="Garamond" w:hAnsi="Garamond"/>
          <w:color w:val="000000" w:themeColor="text1"/>
          <w:sz w:val="24"/>
          <w:szCs w:val="24"/>
        </w:rPr>
        <w:t xml:space="preserve">                                   </w:t>
      </w:r>
      <w:proofErr w:type="gramStart"/>
      <w:r w:rsidRPr="00B72171">
        <w:rPr>
          <w:rFonts w:ascii="Garamond" w:hAnsi="Garamond"/>
          <w:color w:val="000000" w:themeColor="text1"/>
          <w:sz w:val="24"/>
          <w:szCs w:val="24"/>
        </w:rPr>
        <w:t xml:space="preserve">   [</w:t>
      </w:r>
      <w:proofErr w:type="gramEnd"/>
      <w:r w:rsidRPr="00B72171">
        <w:rPr>
          <w:rFonts w:ascii="Garamond" w:hAnsi="Garamond"/>
          <w:color w:val="000000" w:themeColor="text1"/>
          <w:sz w:val="24"/>
          <w:szCs w:val="24"/>
        </w:rPr>
        <w:t>Date]</w:t>
      </w:r>
    </w:p>
    <w:p w14:paraId="2519BF9A" w14:textId="77777777" w:rsidR="00E3316C" w:rsidRPr="00102618" w:rsidRDefault="00000000">
      <w:pPr>
        <w:pStyle w:val="Heading1"/>
        <w:shd w:val="clear" w:color="auto" w:fill="1F3864"/>
        <w:ind w:left="140"/>
        <w:rPr>
          <w:rFonts w:ascii="Garamond" w:hAnsi="Garamond"/>
          <w:sz w:val="24"/>
          <w:szCs w:val="24"/>
        </w:rPr>
      </w:pPr>
      <w:r w:rsidRPr="00102618">
        <w:rPr>
          <w:rFonts w:ascii="Garamond" w:hAnsi="Garamond"/>
          <w:sz w:val="24"/>
          <w:szCs w:val="24"/>
        </w:rPr>
        <w:lastRenderedPageBreak/>
        <w:t>Appendix D. Story Organizer for Limited-Scope or Assisted Pro Se Use</w:t>
      </w:r>
    </w:p>
    <w:p w14:paraId="67D83B0E" w14:textId="77777777" w:rsidR="00E3316C" w:rsidRPr="00102618" w:rsidRDefault="00E3316C">
      <w:pPr>
        <w:spacing w:before="60" w:after="60"/>
        <w:rPr>
          <w:rFonts w:ascii="Garamond" w:hAnsi="Garamond"/>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3316C" w:rsidRPr="00102618" w14:paraId="43DE08A8" w14:textId="77777777">
        <w:tc>
          <w:tcPr>
            <w:tcW w:w="9360" w:type="dxa"/>
            <w:tcBorders>
              <w:top w:val="single" w:sz="8" w:space="0" w:color="1F3864"/>
              <w:left w:val="single" w:sz="8" w:space="0" w:color="1F3864"/>
              <w:bottom w:val="single" w:sz="4" w:space="0" w:color="1F3864"/>
              <w:right w:val="single" w:sz="8" w:space="0" w:color="1F3864"/>
            </w:tcBorders>
            <w:shd w:val="clear" w:color="auto" w:fill="D6E4F0"/>
            <w:tcMar>
              <w:top w:w="120" w:type="dxa"/>
              <w:left w:w="160" w:type="dxa"/>
              <w:bottom w:w="120" w:type="dxa"/>
              <w:right w:w="160" w:type="dxa"/>
            </w:tcMar>
          </w:tcPr>
          <w:p w14:paraId="6D5E6632" w14:textId="77777777" w:rsidR="00E3316C" w:rsidRPr="00102618" w:rsidRDefault="00000000">
            <w:pPr>
              <w:spacing w:after="120"/>
              <w:rPr>
                <w:rFonts w:ascii="Garamond" w:hAnsi="Garamond"/>
                <w:sz w:val="24"/>
                <w:szCs w:val="24"/>
              </w:rPr>
            </w:pPr>
            <w:r w:rsidRPr="00102618">
              <w:rPr>
                <w:rFonts w:ascii="Garamond" w:hAnsi="Garamond"/>
                <w:b/>
                <w:bCs/>
                <w:sz w:val="24"/>
                <w:szCs w:val="24"/>
              </w:rPr>
              <w:t xml:space="preserve">Purpose.  </w:t>
            </w:r>
            <w:r w:rsidRPr="00102618">
              <w:rPr>
                <w:rFonts w:ascii="Garamond" w:hAnsi="Garamond"/>
                <w:sz w:val="24"/>
                <w:szCs w:val="24"/>
              </w:rPr>
              <w:t>This organizer is designed for use in limited-scope representation, assisted pro se support, or brief orientation sessions where full practitioner-guided narrative development is not available. It provides a structured self-guided framework that helps individuals organize their story around the key legal elements of an asylum claim, using accessible language rather than legal terminology. It is not legal advice, and individuals using it without legal counsel should be encouraged to seek full representation wherever possible.</w:t>
            </w:r>
          </w:p>
          <w:p w14:paraId="59836B66" w14:textId="77777777" w:rsidR="00E3316C" w:rsidRPr="00102618" w:rsidRDefault="00E3316C">
            <w:pPr>
              <w:spacing w:before="60" w:after="60"/>
              <w:rPr>
                <w:rFonts w:ascii="Garamond" w:hAnsi="Garamond"/>
                <w:sz w:val="24"/>
                <w:szCs w:val="24"/>
              </w:rPr>
            </w:pPr>
          </w:p>
          <w:p w14:paraId="21BBFCCD" w14:textId="77777777" w:rsidR="00E3316C" w:rsidRPr="00102618" w:rsidRDefault="00000000">
            <w:pPr>
              <w:spacing w:after="120"/>
              <w:rPr>
                <w:rFonts w:ascii="Garamond" w:hAnsi="Garamond"/>
                <w:sz w:val="24"/>
                <w:szCs w:val="24"/>
              </w:rPr>
            </w:pPr>
            <w:r w:rsidRPr="00102618">
              <w:rPr>
                <w:rFonts w:ascii="Garamond" w:hAnsi="Garamond"/>
                <w:i/>
                <w:iCs/>
                <w:sz w:val="24"/>
                <w:szCs w:val="24"/>
              </w:rPr>
              <w:t>Not legal advice. This tool supports story organization only. It does not create an attorney-client relationship and is not a substitute for legal representation.</w:t>
            </w:r>
          </w:p>
        </w:tc>
      </w:tr>
    </w:tbl>
    <w:p w14:paraId="37FEFA1C" w14:textId="77777777" w:rsidR="00E3316C" w:rsidRPr="00102618" w:rsidRDefault="00E3316C">
      <w:pPr>
        <w:spacing w:before="60" w:after="60"/>
        <w:rPr>
          <w:rFonts w:ascii="Garamond" w:hAnsi="Garamond"/>
          <w:sz w:val="24"/>
          <w:szCs w:val="24"/>
        </w:rPr>
      </w:pPr>
    </w:p>
    <w:p w14:paraId="4BCDDF49" w14:textId="77777777" w:rsidR="00E3316C" w:rsidRPr="00B72171" w:rsidRDefault="00000000">
      <w:pPr>
        <w:pStyle w:val="Heading3"/>
        <w:rPr>
          <w:rFonts w:ascii="Garamond" w:hAnsi="Garamond"/>
          <w:color w:val="000000" w:themeColor="text1"/>
          <w:sz w:val="24"/>
          <w:szCs w:val="24"/>
        </w:rPr>
      </w:pPr>
      <w:r w:rsidRPr="00B72171">
        <w:rPr>
          <w:rFonts w:ascii="Garamond" w:hAnsi="Garamond"/>
          <w:color w:val="000000" w:themeColor="text1"/>
          <w:sz w:val="24"/>
          <w:szCs w:val="24"/>
        </w:rPr>
        <w:t>Use This Appendix When</w:t>
      </w:r>
    </w:p>
    <w:p w14:paraId="33FBC890" w14:textId="77777777" w:rsidR="00E3316C" w:rsidRPr="00B72171" w:rsidRDefault="00000000">
      <w:pPr>
        <w:pStyle w:val="ListParagraph"/>
        <w:numPr>
          <w:ilvl w:val="0"/>
          <w:numId w:val="2"/>
        </w:numPr>
        <w:spacing w:after="60"/>
        <w:rPr>
          <w:rFonts w:ascii="Garamond" w:hAnsi="Garamond"/>
          <w:color w:val="000000" w:themeColor="text1"/>
          <w:sz w:val="24"/>
          <w:szCs w:val="24"/>
        </w:rPr>
      </w:pPr>
      <w:r w:rsidRPr="00B72171">
        <w:rPr>
          <w:rFonts w:ascii="Garamond" w:hAnsi="Garamond"/>
          <w:color w:val="000000" w:themeColor="text1"/>
          <w:sz w:val="24"/>
          <w:szCs w:val="24"/>
        </w:rPr>
        <w:t>The practitioner is working in an assisted pro se or legal navigator capacity.</w:t>
      </w:r>
    </w:p>
    <w:p w14:paraId="5D4A1C5E" w14:textId="77777777" w:rsidR="00E3316C" w:rsidRPr="00B72171" w:rsidRDefault="00000000">
      <w:pPr>
        <w:pStyle w:val="ListParagraph"/>
        <w:numPr>
          <w:ilvl w:val="0"/>
          <w:numId w:val="2"/>
        </w:numPr>
        <w:spacing w:after="60"/>
        <w:rPr>
          <w:rFonts w:ascii="Garamond" w:hAnsi="Garamond"/>
          <w:color w:val="000000" w:themeColor="text1"/>
          <w:sz w:val="24"/>
          <w:szCs w:val="24"/>
        </w:rPr>
      </w:pPr>
      <w:r w:rsidRPr="00B72171">
        <w:rPr>
          <w:rFonts w:ascii="Garamond" w:hAnsi="Garamond"/>
          <w:color w:val="000000" w:themeColor="text1"/>
          <w:sz w:val="24"/>
          <w:szCs w:val="24"/>
        </w:rPr>
        <w:t>A client needs to organize their story independently before a first legal meeting.</w:t>
      </w:r>
    </w:p>
    <w:p w14:paraId="7F2F3D1A" w14:textId="77777777" w:rsidR="00E3316C" w:rsidRPr="00B72171" w:rsidRDefault="00000000">
      <w:pPr>
        <w:pStyle w:val="ListParagraph"/>
        <w:numPr>
          <w:ilvl w:val="0"/>
          <w:numId w:val="2"/>
        </w:numPr>
        <w:spacing w:after="60"/>
        <w:rPr>
          <w:rFonts w:ascii="Garamond" w:hAnsi="Garamond"/>
          <w:color w:val="000000" w:themeColor="text1"/>
          <w:sz w:val="24"/>
          <w:szCs w:val="24"/>
        </w:rPr>
      </w:pPr>
      <w:r w:rsidRPr="00B72171">
        <w:rPr>
          <w:rFonts w:ascii="Garamond" w:hAnsi="Garamond"/>
          <w:color w:val="000000" w:themeColor="text1"/>
          <w:sz w:val="24"/>
          <w:szCs w:val="24"/>
        </w:rPr>
        <w:t>A brief intake session must capture enough structure to identify next steps.</w:t>
      </w:r>
    </w:p>
    <w:p w14:paraId="5248116B" w14:textId="77777777" w:rsidR="00E3316C" w:rsidRPr="00B72171" w:rsidRDefault="00000000">
      <w:pPr>
        <w:pStyle w:val="ListParagraph"/>
        <w:numPr>
          <w:ilvl w:val="0"/>
          <w:numId w:val="2"/>
        </w:numPr>
        <w:spacing w:after="60"/>
        <w:rPr>
          <w:rFonts w:ascii="Garamond" w:hAnsi="Garamond"/>
          <w:color w:val="000000" w:themeColor="text1"/>
          <w:sz w:val="24"/>
          <w:szCs w:val="24"/>
        </w:rPr>
      </w:pPr>
      <w:r w:rsidRPr="00B72171">
        <w:rPr>
          <w:rFonts w:ascii="Garamond" w:hAnsi="Garamond"/>
          <w:color w:val="000000" w:themeColor="text1"/>
          <w:sz w:val="24"/>
          <w:szCs w:val="24"/>
        </w:rPr>
        <w:t>Community organizations or navigators are providing early orientation without formal legal advice.</w:t>
      </w:r>
    </w:p>
    <w:p w14:paraId="31D12331" w14:textId="77777777" w:rsidR="00E3316C" w:rsidRPr="00B72171" w:rsidRDefault="00E3316C">
      <w:pPr>
        <w:spacing w:before="60" w:after="60"/>
        <w:rPr>
          <w:rFonts w:ascii="Garamond" w:hAnsi="Garamond"/>
          <w:color w:val="000000" w:themeColor="text1"/>
          <w:sz w:val="24"/>
          <w:szCs w:val="24"/>
        </w:rPr>
      </w:pPr>
    </w:p>
    <w:p w14:paraId="3F3FE92A" w14:textId="77777777" w:rsidR="00E3316C" w:rsidRPr="00B72171" w:rsidRDefault="00000000">
      <w:pPr>
        <w:pStyle w:val="Heading3"/>
        <w:rPr>
          <w:rFonts w:ascii="Garamond" w:hAnsi="Garamond"/>
          <w:color w:val="000000" w:themeColor="text1"/>
          <w:sz w:val="24"/>
          <w:szCs w:val="24"/>
        </w:rPr>
      </w:pPr>
      <w:r w:rsidRPr="00B72171">
        <w:rPr>
          <w:rFonts w:ascii="Garamond" w:hAnsi="Garamond"/>
          <w:color w:val="000000" w:themeColor="text1"/>
          <w:sz w:val="24"/>
          <w:szCs w:val="24"/>
        </w:rPr>
        <w:t>Practice Note</w:t>
      </w:r>
    </w:p>
    <w:p w14:paraId="11E0CC59" w14:textId="77777777" w:rsidR="00E3316C" w:rsidRPr="00102618" w:rsidRDefault="00000000">
      <w:pPr>
        <w:spacing w:after="120"/>
        <w:rPr>
          <w:rFonts w:ascii="Garamond" w:hAnsi="Garamond"/>
          <w:sz w:val="24"/>
          <w:szCs w:val="24"/>
        </w:rPr>
      </w:pPr>
      <w:r w:rsidRPr="00102618">
        <w:rPr>
          <w:rFonts w:ascii="Garamond" w:hAnsi="Garamond"/>
          <w:sz w:val="24"/>
          <w:szCs w:val="24"/>
        </w:rPr>
        <w:t>This organizer should be introduced gently and completed at whatever pace feels safe. Not every question needs to be answered in writing. Some individuals may prefer to speak their answers aloud to a navigator or trusted person rather than write. Accept whatever the person can give and treat it as a starting point, not a complete record.</w:t>
      </w:r>
    </w:p>
    <w:p w14:paraId="780C2EDF" w14:textId="77777777" w:rsidR="00E3316C" w:rsidRPr="00102618" w:rsidRDefault="00E3316C">
      <w:pPr>
        <w:spacing w:before="60" w:after="60"/>
        <w:rPr>
          <w:rFonts w:ascii="Garamond" w:hAnsi="Garamond"/>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40"/>
        <w:gridCol w:w="3120"/>
      </w:tblGrid>
      <w:tr w:rsidR="00E3316C" w:rsidRPr="00102618" w14:paraId="18A5790D" w14:textId="77777777">
        <w:trPr>
          <w:tblHeader/>
        </w:trPr>
        <w:tc>
          <w:tcPr>
            <w:tcW w:w="624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066F183A" w14:textId="77777777" w:rsidR="00E3316C" w:rsidRPr="00102618" w:rsidRDefault="00000000">
            <w:pPr>
              <w:rPr>
                <w:rFonts w:ascii="Garamond" w:hAnsi="Garamond"/>
                <w:sz w:val="24"/>
                <w:szCs w:val="24"/>
              </w:rPr>
            </w:pPr>
            <w:r w:rsidRPr="00102618">
              <w:rPr>
                <w:rFonts w:ascii="Garamond" w:hAnsi="Garamond"/>
                <w:b/>
                <w:bCs/>
                <w:color w:val="FFFFFF"/>
                <w:sz w:val="24"/>
                <w:szCs w:val="24"/>
              </w:rPr>
              <w:t>Question</w:t>
            </w:r>
          </w:p>
        </w:tc>
        <w:tc>
          <w:tcPr>
            <w:tcW w:w="31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6F011C3E" w14:textId="77777777" w:rsidR="00E3316C" w:rsidRPr="00102618" w:rsidRDefault="00000000">
            <w:pPr>
              <w:rPr>
                <w:rFonts w:ascii="Garamond" w:hAnsi="Garamond"/>
                <w:sz w:val="24"/>
                <w:szCs w:val="24"/>
              </w:rPr>
            </w:pPr>
            <w:r w:rsidRPr="00102618">
              <w:rPr>
                <w:rFonts w:ascii="Garamond" w:hAnsi="Garamond"/>
                <w:b/>
                <w:bCs/>
                <w:color w:val="FFFFFF"/>
                <w:sz w:val="24"/>
                <w:szCs w:val="24"/>
              </w:rPr>
              <w:t>Your Response (in your own words)</w:t>
            </w:r>
          </w:p>
        </w:tc>
      </w:tr>
      <w:tr w:rsidR="00E3316C" w:rsidRPr="00102618" w14:paraId="0FB59386" w14:textId="77777777">
        <w:tc>
          <w:tcPr>
            <w:tcW w:w="6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1F21AB3C" w14:textId="77777777" w:rsidR="00E3316C" w:rsidRPr="00102618" w:rsidRDefault="00000000">
            <w:pPr>
              <w:rPr>
                <w:rFonts w:ascii="Garamond" w:hAnsi="Garamond"/>
                <w:sz w:val="24"/>
                <w:szCs w:val="24"/>
              </w:rPr>
            </w:pPr>
            <w:r w:rsidRPr="00102618">
              <w:rPr>
                <w:rFonts w:ascii="Garamond" w:hAnsi="Garamond"/>
                <w:sz w:val="24"/>
                <w:szCs w:val="24"/>
              </w:rPr>
              <w:t>Who are you? What identities, family roles, or memberships matter in your story?</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69B2E985" w14:textId="77777777" w:rsidR="00E3316C" w:rsidRPr="00102618" w:rsidRDefault="00E3316C">
            <w:pPr>
              <w:rPr>
                <w:rFonts w:ascii="Garamond" w:hAnsi="Garamond"/>
                <w:sz w:val="24"/>
                <w:szCs w:val="24"/>
              </w:rPr>
            </w:pPr>
          </w:p>
        </w:tc>
      </w:tr>
      <w:tr w:rsidR="00E3316C" w:rsidRPr="00102618" w14:paraId="52980532" w14:textId="77777777">
        <w:tc>
          <w:tcPr>
            <w:tcW w:w="62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43E926FD" w14:textId="77777777" w:rsidR="00E3316C" w:rsidRPr="00102618" w:rsidRDefault="00000000">
            <w:pPr>
              <w:rPr>
                <w:rFonts w:ascii="Garamond" w:hAnsi="Garamond"/>
                <w:sz w:val="24"/>
                <w:szCs w:val="24"/>
              </w:rPr>
            </w:pPr>
            <w:r w:rsidRPr="00102618">
              <w:rPr>
                <w:rFonts w:ascii="Garamond" w:hAnsi="Garamond"/>
                <w:sz w:val="24"/>
                <w:szCs w:val="24"/>
              </w:rPr>
              <w:t>Where did you live, and what was happening in your community before things changed?</w:t>
            </w:r>
          </w:p>
        </w:tc>
        <w:tc>
          <w:tcPr>
            <w:tcW w:w="31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6289914C" w14:textId="77777777" w:rsidR="00E3316C" w:rsidRPr="00102618" w:rsidRDefault="00E3316C">
            <w:pPr>
              <w:rPr>
                <w:rFonts w:ascii="Garamond" w:hAnsi="Garamond"/>
                <w:sz w:val="24"/>
                <w:szCs w:val="24"/>
              </w:rPr>
            </w:pPr>
          </w:p>
        </w:tc>
      </w:tr>
      <w:tr w:rsidR="00E3316C" w:rsidRPr="00102618" w14:paraId="5C83803C" w14:textId="77777777">
        <w:tc>
          <w:tcPr>
            <w:tcW w:w="6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D0C4148" w14:textId="77777777" w:rsidR="00E3316C" w:rsidRPr="00102618" w:rsidRDefault="00000000">
            <w:pPr>
              <w:rPr>
                <w:rFonts w:ascii="Garamond" w:hAnsi="Garamond"/>
                <w:sz w:val="24"/>
                <w:szCs w:val="24"/>
              </w:rPr>
            </w:pPr>
            <w:r w:rsidRPr="00102618">
              <w:rPr>
                <w:rFonts w:ascii="Garamond" w:hAnsi="Garamond"/>
                <w:sz w:val="24"/>
                <w:szCs w:val="24"/>
              </w:rPr>
              <w:t>What happened that made you unsafe or afraid?</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4A313322" w14:textId="77777777" w:rsidR="00E3316C" w:rsidRPr="00102618" w:rsidRDefault="00E3316C">
            <w:pPr>
              <w:rPr>
                <w:rFonts w:ascii="Garamond" w:hAnsi="Garamond"/>
                <w:sz w:val="24"/>
                <w:szCs w:val="24"/>
              </w:rPr>
            </w:pPr>
          </w:p>
        </w:tc>
      </w:tr>
      <w:tr w:rsidR="00E3316C" w:rsidRPr="00102618" w14:paraId="40D5549E" w14:textId="77777777">
        <w:tc>
          <w:tcPr>
            <w:tcW w:w="62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3BDB5251" w14:textId="77777777" w:rsidR="00E3316C" w:rsidRPr="00102618" w:rsidRDefault="00000000">
            <w:pPr>
              <w:rPr>
                <w:rFonts w:ascii="Garamond" w:hAnsi="Garamond"/>
                <w:sz w:val="24"/>
                <w:szCs w:val="24"/>
              </w:rPr>
            </w:pPr>
            <w:r w:rsidRPr="00102618">
              <w:rPr>
                <w:rFonts w:ascii="Garamond" w:hAnsi="Garamond"/>
                <w:sz w:val="24"/>
                <w:szCs w:val="24"/>
              </w:rPr>
              <w:t>Who or what caused the harm? (A person, group, government, or authority?)</w:t>
            </w:r>
          </w:p>
        </w:tc>
        <w:tc>
          <w:tcPr>
            <w:tcW w:w="31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67F1C311" w14:textId="77777777" w:rsidR="00E3316C" w:rsidRPr="00102618" w:rsidRDefault="00E3316C">
            <w:pPr>
              <w:rPr>
                <w:rFonts w:ascii="Garamond" w:hAnsi="Garamond"/>
                <w:sz w:val="24"/>
                <w:szCs w:val="24"/>
              </w:rPr>
            </w:pPr>
          </w:p>
        </w:tc>
      </w:tr>
      <w:tr w:rsidR="00E3316C" w:rsidRPr="00102618" w14:paraId="3B353C8D" w14:textId="77777777">
        <w:tc>
          <w:tcPr>
            <w:tcW w:w="6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31C0B63" w14:textId="77777777" w:rsidR="00E3316C" w:rsidRPr="00102618" w:rsidRDefault="00000000">
            <w:pPr>
              <w:rPr>
                <w:rFonts w:ascii="Garamond" w:hAnsi="Garamond"/>
                <w:sz w:val="24"/>
                <w:szCs w:val="24"/>
              </w:rPr>
            </w:pPr>
            <w:r w:rsidRPr="00102618">
              <w:rPr>
                <w:rFonts w:ascii="Garamond" w:hAnsi="Garamond"/>
                <w:sz w:val="24"/>
                <w:szCs w:val="24"/>
              </w:rPr>
              <w:t>Why do you believe you were targeted? What do you think the reason was?</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75EDB492" w14:textId="77777777" w:rsidR="00E3316C" w:rsidRPr="00102618" w:rsidRDefault="00E3316C">
            <w:pPr>
              <w:rPr>
                <w:rFonts w:ascii="Garamond" w:hAnsi="Garamond"/>
                <w:sz w:val="24"/>
                <w:szCs w:val="24"/>
              </w:rPr>
            </w:pPr>
          </w:p>
        </w:tc>
      </w:tr>
      <w:tr w:rsidR="00E3316C" w:rsidRPr="00102618" w14:paraId="061C182F" w14:textId="77777777">
        <w:tc>
          <w:tcPr>
            <w:tcW w:w="62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0460BC47" w14:textId="77777777" w:rsidR="00E3316C" w:rsidRPr="00102618" w:rsidRDefault="00000000">
            <w:pPr>
              <w:rPr>
                <w:rFonts w:ascii="Garamond" w:hAnsi="Garamond"/>
                <w:sz w:val="24"/>
                <w:szCs w:val="24"/>
              </w:rPr>
            </w:pPr>
            <w:r w:rsidRPr="00102618">
              <w:rPr>
                <w:rFonts w:ascii="Garamond" w:hAnsi="Garamond"/>
                <w:sz w:val="24"/>
                <w:szCs w:val="24"/>
              </w:rPr>
              <w:lastRenderedPageBreak/>
              <w:t>Were there things the person or group said or did that made it clear why they were targeting you?</w:t>
            </w:r>
          </w:p>
        </w:tc>
        <w:tc>
          <w:tcPr>
            <w:tcW w:w="31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0E23951C" w14:textId="77777777" w:rsidR="00E3316C" w:rsidRPr="00102618" w:rsidRDefault="00E3316C">
            <w:pPr>
              <w:rPr>
                <w:rFonts w:ascii="Garamond" w:hAnsi="Garamond"/>
                <w:sz w:val="24"/>
                <w:szCs w:val="24"/>
              </w:rPr>
            </w:pPr>
          </w:p>
        </w:tc>
      </w:tr>
      <w:tr w:rsidR="00E3316C" w:rsidRPr="00102618" w14:paraId="207E5C5E" w14:textId="77777777">
        <w:tc>
          <w:tcPr>
            <w:tcW w:w="6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7ED881B6" w14:textId="77777777" w:rsidR="00E3316C" w:rsidRPr="00102618" w:rsidRDefault="00000000">
            <w:pPr>
              <w:rPr>
                <w:rFonts w:ascii="Garamond" w:hAnsi="Garamond"/>
                <w:sz w:val="24"/>
                <w:szCs w:val="24"/>
              </w:rPr>
            </w:pPr>
            <w:r w:rsidRPr="00102618">
              <w:rPr>
                <w:rFonts w:ascii="Garamond" w:hAnsi="Garamond"/>
                <w:sz w:val="24"/>
                <w:szCs w:val="24"/>
              </w:rPr>
              <w:t>Did you try to report what happened to the police or another authority? Why or why not?</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2F51DA0" w14:textId="77777777" w:rsidR="00E3316C" w:rsidRPr="00102618" w:rsidRDefault="00E3316C">
            <w:pPr>
              <w:rPr>
                <w:rFonts w:ascii="Garamond" w:hAnsi="Garamond"/>
                <w:sz w:val="24"/>
                <w:szCs w:val="24"/>
              </w:rPr>
            </w:pPr>
          </w:p>
        </w:tc>
      </w:tr>
      <w:tr w:rsidR="00E3316C" w:rsidRPr="00102618" w14:paraId="4A7882CD" w14:textId="77777777">
        <w:tc>
          <w:tcPr>
            <w:tcW w:w="62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2AAA4270" w14:textId="77777777" w:rsidR="00E3316C" w:rsidRPr="00102618" w:rsidRDefault="00000000">
            <w:pPr>
              <w:rPr>
                <w:rFonts w:ascii="Garamond" w:hAnsi="Garamond"/>
                <w:sz w:val="24"/>
                <w:szCs w:val="24"/>
              </w:rPr>
            </w:pPr>
            <w:r w:rsidRPr="00102618">
              <w:rPr>
                <w:rFonts w:ascii="Garamond" w:hAnsi="Garamond"/>
                <w:sz w:val="24"/>
                <w:szCs w:val="24"/>
              </w:rPr>
              <w:t>Did you try to move somewhere safer inside your country? What happened?</w:t>
            </w:r>
          </w:p>
        </w:tc>
        <w:tc>
          <w:tcPr>
            <w:tcW w:w="31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60C396AE" w14:textId="77777777" w:rsidR="00E3316C" w:rsidRPr="00102618" w:rsidRDefault="00E3316C">
            <w:pPr>
              <w:rPr>
                <w:rFonts w:ascii="Garamond" w:hAnsi="Garamond"/>
                <w:sz w:val="24"/>
                <w:szCs w:val="24"/>
              </w:rPr>
            </w:pPr>
          </w:p>
        </w:tc>
      </w:tr>
      <w:tr w:rsidR="00E3316C" w:rsidRPr="00102618" w14:paraId="4B5FCB21" w14:textId="77777777">
        <w:tc>
          <w:tcPr>
            <w:tcW w:w="6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0C3EDA67" w14:textId="77777777" w:rsidR="00E3316C" w:rsidRPr="00102618" w:rsidRDefault="00000000">
            <w:pPr>
              <w:rPr>
                <w:rFonts w:ascii="Garamond" w:hAnsi="Garamond"/>
                <w:sz w:val="24"/>
                <w:szCs w:val="24"/>
              </w:rPr>
            </w:pPr>
            <w:r w:rsidRPr="00102618">
              <w:rPr>
                <w:rFonts w:ascii="Garamond" w:hAnsi="Garamond"/>
                <w:sz w:val="24"/>
                <w:szCs w:val="24"/>
              </w:rPr>
              <w:t>What made it hard to leave sooner? (Money, family, documents, fear, children, disability, other reasons?)</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624D526B" w14:textId="77777777" w:rsidR="00E3316C" w:rsidRPr="00102618" w:rsidRDefault="00E3316C">
            <w:pPr>
              <w:rPr>
                <w:rFonts w:ascii="Garamond" w:hAnsi="Garamond"/>
                <w:sz w:val="24"/>
                <w:szCs w:val="24"/>
              </w:rPr>
            </w:pPr>
          </w:p>
        </w:tc>
      </w:tr>
      <w:tr w:rsidR="00E3316C" w:rsidRPr="00102618" w14:paraId="2B02FD7B" w14:textId="77777777">
        <w:tc>
          <w:tcPr>
            <w:tcW w:w="62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35009F49" w14:textId="77777777" w:rsidR="00E3316C" w:rsidRPr="00102618" w:rsidRDefault="00000000">
            <w:pPr>
              <w:rPr>
                <w:rFonts w:ascii="Garamond" w:hAnsi="Garamond"/>
                <w:sz w:val="24"/>
                <w:szCs w:val="24"/>
              </w:rPr>
            </w:pPr>
            <w:r w:rsidRPr="00102618">
              <w:rPr>
                <w:rFonts w:ascii="Garamond" w:hAnsi="Garamond"/>
                <w:sz w:val="24"/>
                <w:szCs w:val="24"/>
              </w:rPr>
              <w:t>Were there things about your story that were hard to talk about at first? What made them difficult to share?</w:t>
            </w:r>
          </w:p>
        </w:tc>
        <w:tc>
          <w:tcPr>
            <w:tcW w:w="31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73EB7561" w14:textId="77777777" w:rsidR="00E3316C" w:rsidRPr="00102618" w:rsidRDefault="00E3316C">
            <w:pPr>
              <w:rPr>
                <w:rFonts w:ascii="Garamond" w:hAnsi="Garamond"/>
                <w:sz w:val="24"/>
                <w:szCs w:val="24"/>
              </w:rPr>
            </w:pPr>
          </w:p>
        </w:tc>
      </w:tr>
      <w:tr w:rsidR="00E3316C" w:rsidRPr="00102618" w14:paraId="39F584BB" w14:textId="77777777">
        <w:tc>
          <w:tcPr>
            <w:tcW w:w="6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CC31919" w14:textId="77777777" w:rsidR="00E3316C" w:rsidRPr="00102618" w:rsidRDefault="00000000">
            <w:pPr>
              <w:rPr>
                <w:rFonts w:ascii="Garamond" w:hAnsi="Garamond"/>
                <w:sz w:val="24"/>
                <w:szCs w:val="24"/>
              </w:rPr>
            </w:pPr>
            <w:r w:rsidRPr="00102618">
              <w:rPr>
                <w:rFonts w:ascii="Garamond" w:hAnsi="Garamond"/>
                <w:sz w:val="24"/>
                <w:szCs w:val="24"/>
              </w:rPr>
              <w:t>Have there been changes or threats to your family or people in a similar situation since you left?</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3A69D83" w14:textId="77777777" w:rsidR="00E3316C" w:rsidRPr="00102618" w:rsidRDefault="00E3316C">
            <w:pPr>
              <w:rPr>
                <w:rFonts w:ascii="Garamond" w:hAnsi="Garamond"/>
                <w:sz w:val="24"/>
                <w:szCs w:val="24"/>
              </w:rPr>
            </w:pPr>
          </w:p>
        </w:tc>
      </w:tr>
      <w:tr w:rsidR="00E3316C" w:rsidRPr="00102618" w14:paraId="234A0290" w14:textId="77777777">
        <w:tc>
          <w:tcPr>
            <w:tcW w:w="62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1AF1C11E" w14:textId="77777777" w:rsidR="00E3316C" w:rsidRPr="00102618" w:rsidRDefault="00000000">
            <w:pPr>
              <w:rPr>
                <w:rFonts w:ascii="Garamond" w:hAnsi="Garamond"/>
                <w:sz w:val="24"/>
                <w:szCs w:val="24"/>
              </w:rPr>
            </w:pPr>
            <w:r w:rsidRPr="00102618">
              <w:rPr>
                <w:rFonts w:ascii="Garamond" w:hAnsi="Garamond"/>
                <w:sz w:val="24"/>
                <w:szCs w:val="24"/>
              </w:rPr>
              <w:t>Why can you not safely return now? What would happen?</w:t>
            </w:r>
          </w:p>
        </w:tc>
        <w:tc>
          <w:tcPr>
            <w:tcW w:w="31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478A64CE" w14:textId="77777777" w:rsidR="00E3316C" w:rsidRPr="00102618" w:rsidRDefault="00E3316C">
            <w:pPr>
              <w:rPr>
                <w:rFonts w:ascii="Garamond" w:hAnsi="Garamond"/>
                <w:sz w:val="24"/>
                <w:szCs w:val="24"/>
              </w:rPr>
            </w:pPr>
          </w:p>
        </w:tc>
      </w:tr>
      <w:tr w:rsidR="00E3316C" w:rsidRPr="00102618" w14:paraId="31DF579B" w14:textId="77777777">
        <w:tc>
          <w:tcPr>
            <w:tcW w:w="6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69510BFA" w14:textId="77777777" w:rsidR="00E3316C" w:rsidRPr="00102618" w:rsidRDefault="00000000">
            <w:pPr>
              <w:rPr>
                <w:rFonts w:ascii="Garamond" w:hAnsi="Garamond"/>
                <w:sz w:val="24"/>
                <w:szCs w:val="24"/>
              </w:rPr>
            </w:pPr>
            <w:r w:rsidRPr="00102618">
              <w:rPr>
                <w:rFonts w:ascii="Garamond" w:hAnsi="Garamond"/>
                <w:sz w:val="24"/>
                <w:szCs w:val="24"/>
              </w:rPr>
              <w:t>What languages do you speak? What language did you use most when the important events happened?</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65456277" w14:textId="77777777" w:rsidR="00E3316C" w:rsidRPr="00102618" w:rsidRDefault="00E3316C">
            <w:pPr>
              <w:rPr>
                <w:rFonts w:ascii="Garamond" w:hAnsi="Garamond"/>
                <w:sz w:val="24"/>
                <w:szCs w:val="24"/>
              </w:rPr>
            </w:pPr>
          </w:p>
        </w:tc>
      </w:tr>
      <w:tr w:rsidR="00E3316C" w:rsidRPr="00102618" w14:paraId="524A804A" w14:textId="77777777">
        <w:tc>
          <w:tcPr>
            <w:tcW w:w="62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6030B01F" w14:textId="77777777" w:rsidR="00E3316C" w:rsidRPr="00102618" w:rsidRDefault="00000000">
            <w:pPr>
              <w:rPr>
                <w:rFonts w:ascii="Garamond" w:hAnsi="Garamond"/>
                <w:sz w:val="24"/>
                <w:szCs w:val="24"/>
              </w:rPr>
            </w:pPr>
            <w:r w:rsidRPr="00102618">
              <w:rPr>
                <w:rFonts w:ascii="Garamond" w:hAnsi="Garamond"/>
                <w:sz w:val="24"/>
                <w:szCs w:val="24"/>
              </w:rPr>
              <w:t>Is there anything else that feels important to your story that you have not had a chance to say yet?</w:t>
            </w:r>
          </w:p>
        </w:tc>
        <w:tc>
          <w:tcPr>
            <w:tcW w:w="31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46E174CC" w14:textId="77777777" w:rsidR="00E3316C" w:rsidRPr="00102618" w:rsidRDefault="00E3316C">
            <w:pPr>
              <w:rPr>
                <w:rFonts w:ascii="Garamond" w:hAnsi="Garamond"/>
                <w:sz w:val="24"/>
                <w:szCs w:val="24"/>
              </w:rPr>
            </w:pPr>
          </w:p>
        </w:tc>
      </w:tr>
    </w:tbl>
    <w:p w14:paraId="0F2869FB" w14:textId="77777777" w:rsidR="00E3316C" w:rsidRPr="00102618" w:rsidRDefault="00000000">
      <w:pPr>
        <w:rPr>
          <w:rFonts w:ascii="Garamond" w:hAnsi="Garamond"/>
          <w:sz w:val="24"/>
          <w:szCs w:val="24"/>
        </w:rPr>
      </w:pPr>
      <w:r w:rsidRPr="00102618">
        <w:rPr>
          <w:rFonts w:ascii="Garamond" w:hAnsi="Garamond"/>
          <w:sz w:val="24"/>
          <w:szCs w:val="24"/>
        </w:rPr>
        <w:br w:type="page"/>
      </w:r>
    </w:p>
    <w:p w14:paraId="1C768685" w14:textId="77777777" w:rsidR="00E3316C" w:rsidRPr="00102618" w:rsidRDefault="00000000">
      <w:pPr>
        <w:pStyle w:val="Heading1"/>
        <w:shd w:val="clear" w:color="auto" w:fill="1F3864"/>
        <w:ind w:left="140"/>
        <w:rPr>
          <w:rFonts w:ascii="Garamond" w:hAnsi="Garamond"/>
          <w:sz w:val="24"/>
          <w:szCs w:val="24"/>
        </w:rPr>
      </w:pPr>
      <w:r w:rsidRPr="00102618">
        <w:rPr>
          <w:rFonts w:ascii="Garamond" w:hAnsi="Garamond"/>
          <w:sz w:val="24"/>
          <w:szCs w:val="24"/>
        </w:rPr>
        <w:lastRenderedPageBreak/>
        <w:t>Appendix E. Social Work / Clinical Contribution to Contextual Documentation</w:t>
      </w:r>
    </w:p>
    <w:p w14:paraId="0A1368F9" w14:textId="77777777" w:rsidR="00E3316C" w:rsidRPr="00102618" w:rsidRDefault="00E3316C">
      <w:pPr>
        <w:spacing w:before="60" w:after="60"/>
        <w:rPr>
          <w:rFonts w:ascii="Garamond" w:hAnsi="Garamond"/>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3316C" w:rsidRPr="00102618" w14:paraId="3CC70D86" w14:textId="77777777">
        <w:tc>
          <w:tcPr>
            <w:tcW w:w="9360" w:type="dxa"/>
            <w:tcBorders>
              <w:top w:val="single" w:sz="8" w:space="0" w:color="1F3864"/>
              <w:left w:val="single" w:sz="8" w:space="0" w:color="1F3864"/>
              <w:bottom w:val="single" w:sz="4" w:space="0" w:color="1F3864"/>
              <w:right w:val="single" w:sz="8" w:space="0" w:color="1F3864"/>
            </w:tcBorders>
            <w:shd w:val="clear" w:color="auto" w:fill="D6E4F0"/>
            <w:tcMar>
              <w:top w:w="120" w:type="dxa"/>
              <w:left w:w="160" w:type="dxa"/>
              <w:bottom w:w="120" w:type="dxa"/>
              <w:right w:w="160" w:type="dxa"/>
            </w:tcMar>
          </w:tcPr>
          <w:p w14:paraId="25AEC4F7" w14:textId="77777777" w:rsidR="00E3316C" w:rsidRPr="00102618" w:rsidRDefault="00000000">
            <w:pPr>
              <w:spacing w:after="120"/>
              <w:rPr>
                <w:rFonts w:ascii="Garamond" w:hAnsi="Garamond"/>
                <w:sz w:val="24"/>
                <w:szCs w:val="24"/>
              </w:rPr>
            </w:pPr>
            <w:r w:rsidRPr="00102618">
              <w:rPr>
                <w:rFonts w:ascii="Garamond" w:hAnsi="Garamond"/>
                <w:b/>
                <w:bCs/>
                <w:sz w:val="24"/>
                <w:szCs w:val="24"/>
              </w:rPr>
              <w:t xml:space="preserve">Purpose.  </w:t>
            </w:r>
            <w:r w:rsidRPr="00102618">
              <w:rPr>
                <w:rFonts w:ascii="Garamond" w:hAnsi="Garamond"/>
                <w:sz w:val="24"/>
                <w:szCs w:val="24"/>
              </w:rPr>
              <w:t>This appendix provides a structured framework for social workers, clinicians, psychosocial advocates, and allied professionals to document their observations in a format that is useful to the legal team. It is not designed to produce clinical diagnoses or formal psychological evaluations; it is designed to capture contextually relevant observations about functioning, coping, barriers to disclosure, and structural conditions that help the legal team interpret the client's narrative more accurately. Research consistently shows that interdisciplinary documentation improves credibility-sensitive interpretation and reduces the risk that trauma-related testimonial patterns are mistaken for unreliability (Miller et al., 2019; Webb et al., 2022).</w:t>
            </w:r>
          </w:p>
        </w:tc>
      </w:tr>
    </w:tbl>
    <w:p w14:paraId="392DCC69" w14:textId="77777777" w:rsidR="00E3316C" w:rsidRPr="00B72171" w:rsidRDefault="00000000">
      <w:pPr>
        <w:pStyle w:val="Heading3"/>
        <w:rPr>
          <w:rFonts w:ascii="Garamond" w:hAnsi="Garamond"/>
          <w:color w:val="000000" w:themeColor="text1"/>
          <w:sz w:val="24"/>
          <w:szCs w:val="24"/>
        </w:rPr>
      </w:pPr>
      <w:r w:rsidRPr="00B72171">
        <w:rPr>
          <w:rFonts w:ascii="Garamond" w:hAnsi="Garamond"/>
          <w:color w:val="000000" w:themeColor="text1"/>
          <w:sz w:val="24"/>
          <w:szCs w:val="24"/>
        </w:rPr>
        <w:t>Use This Appendix When</w:t>
      </w:r>
    </w:p>
    <w:p w14:paraId="2D07B881" w14:textId="77777777" w:rsidR="00E3316C" w:rsidRPr="00B72171" w:rsidRDefault="00000000">
      <w:pPr>
        <w:pStyle w:val="ListParagraph"/>
        <w:numPr>
          <w:ilvl w:val="0"/>
          <w:numId w:val="2"/>
        </w:numPr>
        <w:spacing w:after="60"/>
        <w:rPr>
          <w:rFonts w:ascii="Garamond" w:hAnsi="Garamond"/>
          <w:color w:val="000000" w:themeColor="text1"/>
          <w:sz w:val="24"/>
          <w:szCs w:val="24"/>
        </w:rPr>
      </w:pPr>
      <w:r w:rsidRPr="00B72171">
        <w:rPr>
          <w:rFonts w:ascii="Garamond" w:hAnsi="Garamond"/>
          <w:color w:val="000000" w:themeColor="text1"/>
          <w:sz w:val="24"/>
          <w:szCs w:val="24"/>
        </w:rPr>
        <w:t>A social worker, clinician, or psychosocial advocate is contributing to the case team.</w:t>
      </w:r>
    </w:p>
    <w:p w14:paraId="1C3DF6F8" w14:textId="77777777" w:rsidR="00E3316C" w:rsidRPr="00B72171" w:rsidRDefault="00000000">
      <w:pPr>
        <w:pStyle w:val="ListParagraph"/>
        <w:numPr>
          <w:ilvl w:val="0"/>
          <w:numId w:val="2"/>
        </w:numPr>
        <w:spacing w:after="60"/>
        <w:rPr>
          <w:rFonts w:ascii="Garamond" w:hAnsi="Garamond"/>
          <w:color w:val="000000" w:themeColor="text1"/>
          <w:sz w:val="24"/>
          <w:szCs w:val="24"/>
        </w:rPr>
      </w:pPr>
      <w:r w:rsidRPr="00B72171">
        <w:rPr>
          <w:rFonts w:ascii="Garamond" w:hAnsi="Garamond"/>
          <w:color w:val="000000" w:themeColor="text1"/>
          <w:sz w:val="24"/>
          <w:szCs w:val="24"/>
        </w:rPr>
        <w:t>Trauma-related barriers to disclosure need to be documented in a form the legal team can use.</w:t>
      </w:r>
    </w:p>
    <w:p w14:paraId="10385439" w14:textId="77777777" w:rsidR="00E3316C" w:rsidRPr="00B72171" w:rsidRDefault="00000000">
      <w:pPr>
        <w:pStyle w:val="ListParagraph"/>
        <w:numPr>
          <w:ilvl w:val="0"/>
          <w:numId w:val="2"/>
        </w:numPr>
        <w:spacing w:after="60"/>
        <w:rPr>
          <w:rFonts w:ascii="Garamond" w:hAnsi="Garamond"/>
          <w:color w:val="000000" w:themeColor="text1"/>
          <w:sz w:val="24"/>
          <w:szCs w:val="24"/>
        </w:rPr>
      </w:pPr>
      <w:r w:rsidRPr="00B72171">
        <w:rPr>
          <w:rFonts w:ascii="Garamond" w:hAnsi="Garamond"/>
          <w:color w:val="000000" w:themeColor="text1"/>
          <w:sz w:val="24"/>
          <w:szCs w:val="24"/>
        </w:rPr>
        <w:t>The legal team has identified a pattern (fragmented chronology, delayed disclosure, flat affect) that may benefit from contextual explanation.</w:t>
      </w:r>
    </w:p>
    <w:p w14:paraId="5C03D729" w14:textId="77777777" w:rsidR="00E3316C" w:rsidRPr="00B72171" w:rsidRDefault="00000000">
      <w:pPr>
        <w:pStyle w:val="ListParagraph"/>
        <w:numPr>
          <w:ilvl w:val="0"/>
          <w:numId w:val="2"/>
        </w:numPr>
        <w:spacing w:after="60"/>
        <w:rPr>
          <w:rFonts w:ascii="Garamond" w:hAnsi="Garamond"/>
          <w:color w:val="000000" w:themeColor="text1"/>
          <w:sz w:val="24"/>
          <w:szCs w:val="24"/>
        </w:rPr>
      </w:pPr>
      <w:r w:rsidRPr="00B72171">
        <w:rPr>
          <w:rFonts w:ascii="Garamond" w:hAnsi="Garamond"/>
          <w:color w:val="000000" w:themeColor="text1"/>
          <w:sz w:val="24"/>
          <w:szCs w:val="24"/>
        </w:rPr>
        <w:t>A formal psychological evaluation has not been commissioned but contextual observations are still relevant.</w:t>
      </w:r>
    </w:p>
    <w:p w14:paraId="44398829" w14:textId="77777777" w:rsidR="00E3316C" w:rsidRPr="00B72171" w:rsidRDefault="00000000">
      <w:pPr>
        <w:pStyle w:val="Heading3"/>
        <w:rPr>
          <w:rFonts w:ascii="Garamond" w:hAnsi="Garamond"/>
          <w:color w:val="000000" w:themeColor="text1"/>
          <w:sz w:val="24"/>
          <w:szCs w:val="24"/>
        </w:rPr>
      </w:pPr>
      <w:r w:rsidRPr="00B72171">
        <w:rPr>
          <w:rFonts w:ascii="Garamond" w:hAnsi="Garamond"/>
          <w:color w:val="000000" w:themeColor="text1"/>
          <w:sz w:val="24"/>
          <w:szCs w:val="24"/>
        </w:rPr>
        <w:t>Practice Note</w:t>
      </w:r>
    </w:p>
    <w:p w14:paraId="6E29774A" w14:textId="77777777" w:rsidR="00E3316C" w:rsidRPr="00102618" w:rsidRDefault="00000000">
      <w:pPr>
        <w:spacing w:after="120"/>
        <w:rPr>
          <w:rFonts w:ascii="Garamond" w:hAnsi="Garamond"/>
          <w:sz w:val="24"/>
          <w:szCs w:val="24"/>
        </w:rPr>
      </w:pPr>
      <w:r w:rsidRPr="00102618">
        <w:rPr>
          <w:rFonts w:ascii="Garamond" w:hAnsi="Garamond"/>
          <w:sz w:val="24"/>
          <w:szCs w:val="24"/>
        </w:rPr>
        <w:t>Observations recorded here are for internal case-team coordination unless otherwise agreed. Do not share with opposing parties or adjudicators without explicit legal team authorization. Record only what you directly observed; clearly distinguish observation from inference.</w:t>
      </w:r>
    </w:p>
    <w:p w14:paraId="47D24F63" w14:textId="77777777" w:rsidR="00E3316C" w:rsidRPr="00102618" w:rsidRDefault="00E3316C">
      <w:pPr>
        <w:spacing w:before="60" w:after="60"/>
        <w:rPr>
          <w:rFonts w:ascii="Garamond" w:hAnsi="Garamond"/>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40"/>
        <w:gridCol w:w="3120"/>
      </w:tblGrid>
      <w:tr w:rsidR="00E3316C" w:rsidRPr="00102618" w14:paraId="3517289F" w14:textId="77777777">
        <w:trPr>
          <w:tblHeader/>
        </w:trPr>
        <w:tc>
          <w:tcPr>
            <w:tcW w:w="624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6A3C6C64" w14:textId="77777777" w:rsidR="00E3316C" w:rsidRPr="00102618" w:rsidRDefault="00000000">
            <w:pPr>
              <w:rPr>
                <w:rFonts w:ascii="Garamond" w:hAnsi="Garamond"/>
                <w:sz w:val="24"/>
                <w:szCs w:val="24"/>
              </w:rPr>
            </w:pPr>
            <w:r w:rsidRPr="00102618">
              <w:rPr>
                <w:rFonts w:ascii="Garamond" w:hAnsi="Garamond"/>
                <w:b/>
                <w:bCs/>
                <w:color w:val="FFFFFF"/>
                <w:sz w:val="24"/>
                <w:szCs w:val="24"/>
              </w:rPr>
              <w:t>Area</w:t>
            </w:r>
          </w:p>
        </w:tc>
        <w:tc>
          <w:tcPr>
            <w:tcW w:w="31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2B1739F5" w14:textId="77777777" w:rsidR="00E3316C" w:rsidRPr="00102618" w:rsidRDefault="00000000">
            <w:pPr>
              <w:rPr>
                <w:rFonts w:ascii="Garamond" w:hAnsi="Garamond"/>
                <w:sz w:val="24"/>
                <w:szCs w:val="24"/>
              </w:rPr>
            </w:pPr>
            <w:r w:rsidRPr="00102618">
              <w:rPr>
                <w:rFonts w:ascii="Garamond" w:hAnsi="Garamond"/>
                <w:b/>
                <w:bCs/>
                <w:color w:val="FFFFFF"/>
                <w:sz w:val="24"/>
                <w:szCs w:val="24"/>
              </w:rPr>
              <w:t>Observations / Notes</w:t>
            </w:r>
          </w:p>
        </w:tc>
      </w:tr>
      <w:tr w:rsidR="00E3316C" w:rsidRPr="00102618" w14:paraId="38F829BE" w14:textId="77777777">
        <w:tc>
          <w:tcPr>
            <w:tcW w:w="6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47E3394" w14:textId="77777777" w:rsidR="00E3316C" w:rsidRPr="00102618" w:rsidRDefault="00000000">
            <w:pPr>
              <w:rPr>
                <w:rFonts w:ascii="Garamond" w:hAnsi="Garamond"/>
                <w:sz w:val="24"/>
                <w:szCs w:val="24"/>
              </w:rPr>
            </w:pPr>
            <w:r w:rsidRPr="00102618">
              <w:rPr>
                <w:rFonts w:ascii="Garamond" w:hAnsi="Garamond"/>
                <w:sz w:val="24"/>
                <w:szCs w:val="24"/>
              </w:rPr>
              <w:t>Current functioning (sleep, concentration, work/school, caregiving, daily tasks)</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088D8A1D" w14:textId="77777777" w:rsidR="00E3316C" w:rsidRPr="00102618" w:rsidRDefault="00E3316C">
            <w:pPr>
              <w:rPr>
                <w:rFonts w:ascii="Garamond" w:hAnsi="Garamond"/>
                <w:sz w:val="24"/>
                <w:szCs w:val="24"/>
              </w:rPr>
            </w:pPr>
          </w:p>
        </w:tc>
      </w:tr>
      <w:tr w:rsidR="00E3316C" w:rsidRPr="00102618" w14:paraId="2B739E1A" w14:textId="77777777">
        <w:tc>
          <w:tcPr>
            <w:tcW w:w="62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23662223" w14:textId="77777777" w:rsidR="00E3316C" w:rsidRPr="00102618" w:rsidRDefault="00000000">
            <w:pPr>
              <w:rPr>
                <w:rFonts w:ascii="Garamond" w:hAnsi="Garamond"/>
                <w:sz w:val="24"/>
                <w:szCs w:val="24"/>
              </w:rPr>
            </w:pPr>
            <w:r w:rsidRPr="00102618">
              <w:rPr>
                <w:rFonts w:ascii="Garamond" w:hAnsi="Garamond"/>
                <w:sz w:val="24"/>
                <w:szCs w:val="24"/>
              </w:rPr>
              <w:t>Coping and resilience strategies</w:t>
            </w:r>
          </w:p>
        </w:tc>
        <w:tc>
          <w:tcPr>
            <w:tcW w:w="31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20385077" w14:textId="77777777" w:rsidR="00E3316C" w:rsidRPr="00102618" w:rsidRDefault="00E3316C">
            <w:pPr>
              <w:rPr>
                <w:rFonts w:ascii="Garamond" w:hAnsi="Garamond"/>
                <w:sz w:val="24"/>
                <w:szCs w:val="24"/>
              </w:rPr>
            </w:pPr>
          </w:p>
        </w:tc>
      </w:tr>
      <w:tr w:rsidR="00E3316C" w:rsidRPr="00102618" w14:paraId="45622DBC" w14:textId="77777777">
        <w:tc>
          <w:tcPr>
            <w:tcW w:w="6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0D85201E" w14:textId="77777777" w:rsidR="00E3316C" w:rsidRPr="00102618" w:rsidRDefault="00000000">
            <w:pPr>
              <w:rPr>
                <w:rFonts w:ascii="Garamond" w:hAnsi="Garamond"/>
                <w:sz w:val="24"/>
                <w:szCs w:val="24"/>
              </w:rPr>
            </w:pPr>
            <w:r w:rsidRPr="00102618">
              <w:rPr>
                <w:rFonts w:ascii="Garamond" w:hAnsi="Garamond"/>
                <w:sz w:val="24"/>
                <w:szCs w:val="24"/>
              </w:rPr>
              <w:t>Family role strain or disruption</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472DDC1D" w14:textId="77777777" w:rsidR="00E3316C" w:rsidRPr="00102618" w:rsidRDefault="00E3316C">
            <w:pPr>
              <w:rPr>
                <w:rFonts w:ascii="Garamond" w:hAnsi="Garamond"/>
                <w:sz w:val="24"/>
                <w:szCs w:val="24"/>
              </w:rPr>
            </w:pPr>
          </w:p>
        </w:tc>
      </w:tr>
      <w:tr w:rsidR="00E3316C" w:rsidRPr="00102618" w14:paraId="060F0D0C" w14:textId="77777777">
        <w:tc>
          <w:tcPr>
            <w:tcW w:w="62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62816009" w14:textId="77777777" w:rsidR="00E3316C" w:rsidRPr="00102618" w:rsidRDefault="00000000">
            <w:pPr>
              <w:rPr>
                <w:rFonts w:ascii="Garamond" w:hAnsi="Garamond"/>
                <w:sz w:val="24"/>
                <w:szCs w:val="24"/>
              </w:rPr>
            </w:pPr>
            <w:r w:rsidRPr="00102618">
              <w:rPr>
                <w:rFonts w:ascii="Garamond" w:hAnsi="Garamond"/>
                <w:sz w:val="24"/>
                <w:szCs w:val="24"/>
              </w:rPr>
              <w:t>Community support or isolation</w:t>
            </w:r>
          </w:p>
        </w:tc>
        <w:tc>
          <w:tcPr>
            <w:tcW w:w="31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184E11D6" w14:textId="77777777" w:rsidR="00E3316C" w:rsidRPr="00102618" w:rsidRDefault="00E3316C">
            <w:pPr>
              <w:rPr>
                <w:rFonts w:ascii="Garamond" w:hAnsi="Garamond"/>
                <w:sz w:val="24"/>
                <w:szCs w:val="24"/>
              </w:rPr>
            </w:pPr>
          </w:p>
        </w:tc>
      </w:tr>
      <w:tr w:rsidR="00E3316C" w:rsidRPr="00102618" w14:paraId="0293DF4A" w14:textId="77777777">
        <w:tc>
          <w:tcPr>
            <w:tcW w:w="6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0A7431B8" w14:textId="77777777" w:rsidR="00E3316C" w:rsidRPr="00102618" w:rsidRDefault="00000000">
            <w:pPr>
              <w:rPr>
                <w:rFonts w:ascii="Garamond" w:hAnsi="Garamond"/>
                <w:sz w:val="24"/>
                <w:szCs w:val="24"/>
              </w:rPr>
            </w:pPr>
            <w:r w:rsidRPr="00102618">
              <w:rPr>
                <w:rFonts w:ascii="Garamond" w:hAnsi="Garamond"/>
                <w:sz w:val="24"/>
                <w:szCs w:val="24"/>
              </w:rPr>
              <w:t>Structural barriers (housing, transport, work, legal precarity, language access)</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6A427B4" w14:textId="77777777" w:rsidR="00E3316C" w:rsidRPr="00102618" w:rsidRDefault="00E3316C">
            <w:pPr>
              <w:rPr>
                <w:rFonts w:ascii="Garamond" w:hAnsi="Garamond"/>
                <w:sz w:val="24"/>
                <w:szCs w:val="24"/>
              </w:rPr>
            </w:pPr>
          </w:p>
        </w:tc>
      </w:tr>
      <w:tr w:rsidR="00E3316C" w:rsidRPr="00102618" w14:paraId="7E32FDEF" w14:textId="77777777">
        <w:tc>
          <w:tcPr>
            <w:tcW w:w="62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7DE9C483" w14:textId="77777777" w:rsidR="00E3316C" w:rsidRPr="00102618" w:rsidRDefault="00000000">
            <w:pPr>
              <w:rPr>
                <w:rFonts w:ascii="Garamond" w:hAnsi="Garamond"/>
                <w:sz w:val="24"/>
                <w:szCs w:val="24"/>
              </w:rPr>
            </w:pPr>
            <w:r w:rsidRPr="00102618">
              <w:rPr>
                <w:rFonts w:ascii="Garamond" w:hAnsi="Garamond"/>
                <w:sz w:val="24"/>
                <w:szCs w:val="24"/>
              </w:rPr>
              <w:t>Trauma-related barriers to disclosure</w:t>
            </w:r>
          </w:p>
        </w:tc>
        <w:tc>
          <w:tcPr>
            <w:tcW w:w="31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0C24E35C" w14:textId="77777777" w:rsidR="00E3316C" w:rsidRPr="00102618" w:rsidRDefault="00E3316C">
            <w:pPr>
              <w:rPr>
                <w:rFonts w:ascii="Garamond" w:hAnsi="Garamond"/>
                <w:sz w:val="24"/>
                <w:szCs w:val="24"/>
              </w:rPr>
            </w:pPr>
          </w:p>
        </w:tc>
      </w:tr>
      <w:tr w:rsidR="00E3316C" w:rsidRPr="00102618" w14:paraId="243BAA44" w14:textId="77777777">
        <w:tc>
          <w:tcPr>
            <w:tcW w:w="6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0544BEE7" w14:textId="77777777" w:rsidR="00E3316C" w:rsidRPr="00102618" w:rsidRDefault="00000000">
            <w:pPr>
              <w:rPr>
                <w:rFonts w:ascii="Garamond" w:hAnsi="Garamond"/>
                <w:sz w:val="24"/>
                <w:szCs w:val="24"/>
              </w:rPr>
            </w:pPr>
            <w:r w:rsidRPr="00102618">
              <w:rPr>
                <w:rFonts w:ascii="Garamond" w:hAnsi="Garamond"/>
                <w:sz w:val="24"/>
                <w:szCs w:val="24"/>
              </w:rPr>
              <w:t>Strengths and stabilization factors</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395C47CF" w14:textId="77777777" w:rsidR="00E3316C" w:rsidRPr="00102618" w:rsidRDefault="00E3316C">
            <w:pPr>
              <w:rPr>
                <w:rFonts w:ascii="Garamond" w:hAnsi="Garamond"/>
                <w:sz w:val="24"/>
                <w:szCs w:val="24"/>
              </w:rPr>
            </w:pPr>
          </w:p>
        </w:tc>
      </w:tr>
      <w:tr w:rsidR="00E3316C" w:rsidRPr="00102618" w14:paraId="50524E67" w14:textId="77777777">
        <w:tc>
          <w:tcPr>
            <w:tcW w:w="62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1FFFB2EB" w14:textId="77777777" w:rsidR="00E3316C" w:rsidRPr="00102618" w:rsidRDefault="00000000">
            <w:pPr>
              <w:rPr>
                <w:rFonts w:ascii="Garamond" w:hAnsi="Garamond"/>
                <w:sz w:val="24"/>
                <w:szCs w:val="24"/>
              </w:rPr>
            </w:pPr>
            <w:r w:rsidRPr="00102618">
              <w:rPr>
                <w:rFonts w:ascii="Garamond" w:hAnsi="Garamond"/>
                <w:sz w:val="24"/>
                <w:szCs w:val="24"/>
              </w:rPr>
              <w:t>Clinical cautions / what legal team should understand about pacing</w:t>
            </w:r>
          </w:p>
        </w:tc>
        <w:tc>
          <w:tcPr>
            <w:tcW w:w="31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2F7FAE66" w14:textId="77777777" w:rsidR="00E3316C" w:rsidRPr="00102618" w:rsidRDefault="00E3316C">
            <w:pPr>
              <w:rPr>
                <w:rFonts w:ascii="Garamond" w:hAnsi="Garamond"/>
                <w:sz w:val="24"/>
                <w:szCs w:val="24"/>
              </w:rPr>
            </w:pPr>
          </w:p>
        </w:tc>
      </w:tr>
      <w:tr w:rsidR="00E3316C" w:rsidRPr="00102618" w14:paraId="703F03AF" w14:textId="77777777">
        <w:tc>
          <w:tcPr>
            <w:tcW w:w="6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0096ACF9" w14:textId="77777777" w:rsidR="00E3316C" w:rsidRPr="00102618" w:rsidRDefault="00000000">
            <w:pPr>
              <w:rPr>
                <w:rFonts w:ascii="Garamond" w:hAnsi="Garamond"/>
                <w:sz w:val="24"/>
                <w:szCs w:val="24"/>
              </w:rPr>
            </w:pPr>
            <w:r w:rsidRPr="00102618">
              <w:rPr>
                <w:rFonts w:ascii="Garamond" w:hAnsi="Garamond"/>
                <w:sz w:val="24"/>
                <w:szCs w:val="24"/>
              </w:rPr>
              <w:t>Recommended follow-up or referral</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F7680FC" w14:textId="77777777" w:rsidR="00E3316C" w:rsidRPr="00102618" w:rsidRDefault="00E3316C">
            <w:pPr>
              <w:rPr>
                <w:rFonts w:ascii="Garamond" w:hAnsi="Garamond"/>
                <w:sz w:val="24"/>
                <w:szCs w:val="24"/>
              </w:rPr>
            </w:pPr>
          </w:p>
        </w:tc>
      </w:tr>
    </w:tbl>
    <w:p w14:paraId="2D531238" w14:textId="77777777" w:rsidR="00E3316C" w:rsidRPr="00102618" w:rsidRDefault="00000000">
      <w:pPr>
        <w:pStyle w:val="Heading1"/>
        <w:shd w:val="clear" w:color="auto" w:fill="1F3864"/>
        <w:ind w:left="140"/>
        <w:rPr>
          <w:rFonts w:ascii="Garamond" w:hAnsi="Garamond"/>
          <w:sz w:val="24"/>
          <w:szCs w:val="24"/>
        </w:rPr>
      </w:pPr>
      <w:r w:rsidRPr="00102618">
        <w:rPr>
          <w:rFonts w:ascii="Garamond" w:hAnsi="Garamond"/>
          <w:sz w:val="24"/>
          <w:szCs w:val="24"/>
        </w:rPr>
        <w:lastRenderedPageBreak/>
        <w:t>Appendix F. Practitioner Reflection Log and Wellbeing Plan</w:t>
      </w:r>
    </w:p>
    <w:p w14:paraId="66EEBF44" w14:textId="77777777" w:rsidR="00E3316C" w:rsidRPr="00102618" w:rsidRDefault="00E3316C">
      <w:pPr>
        <w:spacing w:before="60" w:after="60"/>
        <w:rPr>
          <w:rFonts w:ascii="Garamond" w:hAnsi="Garamond"/>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3316C" w:rsidRPr="00102618" w14:paraId="747033C9" w14:textId="77777777">
        <w:tc>
          <w:tcPr>
            <w:tcW w:w="9360" w:type="dxa"/>
            <w:tcBorders>
              <w:top w:val="single" w:sz="8" w:space="0" w:color="1F3864"/>
              <w:left w:val="single" w:sz="8" w:space="0" w:color="1F3864"/>
              <w:bottom w:val="single" w:sz="4" w:space="0" w:color="1F3864"/>
              <w:right w:val="single" w:sz="8" w:space="0" w:color="1F3864"/>
            </w:tcBorders>
            <w:shd w:val="clear" w:color="auto" w:fill="D6E4F0"/>
            <w:tcMar>
              <w:top w:w="120" w:type="dxa"/>
              <w:left w:w="160" w:type="dxa"/>
              <w:bottom w:w="120" w:type="dxa"/>
              <w:right w:w="160" w:type="dxa"/>
            </w:tcMar>
          </w:tcPr>
          <w:p w14:paraId="702C7422" w14:textId="77777777" w:rsidR="00E3316C" w:rsidRPr="00102618" w:rsidRDefault="00000000">
            <w:pPr>
              <w:spacing w:after="120"/>
              <w:rPr>
                <w:rFonts w:ascii="Garamond" w:hAnsi="Garamond"/>
                <w:sz w:val="24"/>
                <w:szCs w:val="24"/>
              </w:rPr>
            </w:pPr>
            <w:r w:rsidRPr="00102618">
              <w:rPr>
                <w:rFonts w:ascii="Garamond" w:hAnsi="Garamond"/>
                <w:b/>
                <w:bCs/>
                <w:sz w:val="24"/>
                <w:szCs w:val="24"/>
              </w:rPr>
              <w:t xml:space="preserve">Purpose.  </w:t>
            </w:r>
            <w:r w:rsidRPr="00102618">
              <w:rPr>
                <w:rFonts w:ascii="Garamond" w:hAnsi="Garamond"/>
                <w:sz w:val="24"/>
                <w:szCs w:val="24"/>
              </w:rPr>
              <w:t>This appendix provides a brief, usable reflection and wellbeing log for practitioners to complete after difficult sessions. Its goal is not generic wellness language. It is to create a structured pause so that legal urgency does not consume reflective judgment—and so that drift, emotional residue, and next-step needs are captured while they are still fresh. Research on practitioner sustainability in trauma-adjacent legal work shows that brief structured reflection after difficult sessions reduces decision fatigue, improves documentation quality, and supports practitioner longevity in high-caseload environments (Asylum Access, 2020).</w:t>
            </w:r>
          </w:p>
        </w:tc>
      </w:tr>
    </w:tbl>
    <w:p w14:paraId="0F7F9464" w14:textId="77777777" w:rsidR="00E3316C" w:rsidRPr="00102618" w:rsidRDefault="00E3316C">
      <w:pPr>
        <w:spacing w:before="60" w:after="60"/>
        <w:rPr>
          <w:rFonts w:ascii="Garamond" w:hAnsi="Garamond"/>
          <w:sz w:val="24"/>
          <w:szCs w:val="24"/>
        </w:rPr>
      </w:pPr>
    </w:p>
    <w:p w14:paraId="2C6C893C" w14:textId="77777777" w:rsidR="00E3316C" w:rsidRPr="00B72171" w:rsidRDefault="00000000">
      <w:pPr>
        <w:pStyle w:val="Heading3"/>
        <w:rPr>
          <w:rFonts w:ascii="Garamond" w:hAnsi="Garamond"/>
          <w:color w:val="000000" w:themeColor="text1"/>
          <w:sz w:val="24"/>
          <w:szCs w:val="24"/>
        </w:rPr>
      </w:pPr>
      <w:r w:rsidRPr="00B72171">
        <w:rPr>
          <w:rFonts w:ascii="Garamond" w:hAnsi="Garamond"/>
          <w:color w:val="000000" w:themeColor="text1"/>
          <w:sz w:val="24"/>
          <w:szCs w:val="24"/>
        </w:rPr>
        <w:t>Use This Appendix When</w:t>
      </w:r>
    </w:p>
    <w:p w14:paraId="5AD99285" w14:textId="77777777" w:rsidR="00E3316C" w:rsidRPr="00B72171" w:rsidRDefault="00000000">
      <w:pPr>
        <w:pStyle w:val="ListParagraph"/>
        <w:numPr>
          <w:ilvl w:val="0"/>
          <w:numId w:val="2"/>
        </w:numPr>
        <w:spacing w:after="60"/>
        <w:rPr>
          <w:rFonts w:ascii="Garamond" w:hAnsi="Garamond"/>
          <w:color w:val="000000" w:themeColor="text1"/>
          <w:sz w:val="24"/>
          <w:szCs w:val="24"/>
        </w:rPr>
      </w:pPr>
      <w:r w:rsidRPr="00B72171">
        <w:rPr>
          <w:rFonts w:ascii="Garamond" w:hAnsi="Garamond"/>
          <w:color w:val="000000" w:themeColor="text1"/>
          <w:sz w:val="24"/>
          <w:szCs w:val="24"/>
        </w:rPr>
        <w:t>Completing a session involving disclosure of sexual violence, torture, childhood abuse, family betrayal, or severe dissociation.</w:t>
      </w:r>
    </w:p>
    <w:p w14:paraId="67D6DC58" w14:textId="77777777" w:rsidR="00E3316C" w:rsidRPr="00B72171" w:rsidRDefault="00000000">
      <w:pPr>
        <w:pStyle w:val="ListParagraph"/>
        <w:numPr>
          <w:ilvl w:val="0"/>
          <w:numId w:val="2"/>
        </w:numPr>
        <w:spacing w:after="60"/>
        <w:rPr>
          <w:rFonts w:ascii="Garamond" w:hAnsi="Garamond"/>
          <w:color w:val="000000" w:themeColor="text1"/>
          <w:sz w:val="24"/>
          <w:szCs w:val="24"/>
        </w:rPr>
      </w:pPr>
      <w:r w:rsidRPr="00B72171">
        <w:rPr>
          <w:rFonts w:ascii="Garamond" w:hAnsi="Garamond"/>
          <w:color w:val="000000" w:themeColor="text1"/>
          <w:sz w:val="24"/>
          <w:szCs w:val="24"/>
        </w:rPr>
        <w:t>After a session that felt off-track, emotionally heavy, or difficult to manage.</w:t>
      </w:r>
    </w:p>
    <w:p w14:paraId="38D0089E" w14:textId="77777777" w:rsidR="00E3316C" w:rsidRPr="00B72171" w:rsidRDefault="00000000">
      <w:pPr>
        <w:pStyle w:val="ListParagraph"/>
        <w:numPr>
          <w:ilvl w:val="0"/>
          <w:numId w:val="2"/>
        </w:numPr>
        <w:spacing w:after="60"/>
        <w:rPr>
          <w:rFonts w:ascii="Garamond" w:hAnsi="Garamond"/>
          <w:color w:val="000000" w:themeColor="text1"/>
          <w:sz w:val="24"/>
          <w:szCs w:val="24"/>
        </w:rPr>
      </w:pPr>
      <w:r w:rsidRPr="00B72171">
        <w:rPr>
          <w:rFonts w:ascii="Garamond" w:hAnsi="Garamond"/>
          <w:color w:val="000000" w:themeColor="text1"/>
          <w:sz w:val="24"/>
          <w:szCs w:val="24"/>
        </w:rPr>
        <w:t>As a routine end-of-day practice in high-caseload settings.</w:t>
      </w:r>
    </w:p>
    <w:p w14:paraId="1FE7576A" w14:textId="77777777" w:rsidR="00E3316C" w:rsidRPr="00B72171" w:rsidRDefault="00000000">
      <w:pPr>
        <w:pStyle w:val="ListParagraph"/>
        <w:numPr>
          <w:ilvl w:val="0"/>
          <w:numId w:val="2"/>
        </w:numPr>
        <w:spacing w:after="60"/>
        <w:rPr>
          <w:rFonts w:ascii="Garamond" w:hAnsi="Garamond"/>
          <w:color w:val="000000" w:themeColor="text1"/>
          <w:sz w:val="24"/>
          <w:szCs w:val="24"/>
        </w:rPr>
      </w:pPr>
      <w:r w:rsidRPr="00B72171">
        <w:rPr>
          <w:rFonts w:ascii="Garamond" w:hAnsi="Garamond"/>
          <w:color w:val="000000" w:themeColor="text1"/>
          <w:sz w:val="24"/>
          <w:szCs w:val="24"/>
        </w:rPr>
        <w:t>When a practitioner notices signs of accumulation: irritability, numbness, dread, over-identification, or avoidance.</w:t>
      </w:r>
    </w:p>
    <w:p w14:paraId="091131F6" w14:textId="77777777" w:rsidR="00E3316C" w:rsidRPr="00B72171" w:rsidRDefault="00E3316C">
      <w:pPr>
        <w:spacing w:before="60" w:after="60"/>
        <w:rPr>
          <w:rFonts w:ascii="Garamond" w:hAnsi="Garamond"/>
          <w:color w:val="000000" w:themeColor="text1"/>
          <w:sz w:val="24"/>
          <w:szCs w:val="24"/>
        </w:rPr>
      </w:pPr>
    </w:p>
    <w:p w14:paraId="73B66389" w14:textId="77777777" w:rsidR="00E3316C" w:rsidRPr="00B72171" w:rsidRDefault="00000000">
      <w:pPr>
        <w:pStyle w:val="Heading3"/>
        <w:rPr>
          <w:rFonts w:ascii="Garamond" w:hAnsi="Garamond"/>
          <w:color w:val="000000" w:themeColor="text1"/>
          <w:sz w:val="24"/>
          <w:szCs w:val="24"/>
        </w:rPr>
      </w:pPr>
      <w:r w:rsidRPr="00B72171">
        <w:rPr>
          <w:rFonts w:ascii="Garamond" w:hAnsi="Garamond"/>
          <w:color w:val="000000" w:themeColor="text1"/>
          <w:sz w:val="24"/>
          <w:szCs w:val="24"/>
        </w:rPr>
        <w:t>Practice Note</w:t>
      </w:r>
    </w:p>
    <w:p w14:paraId="37156F50" w14:textId="77777777" w:rsidR="00E3316C" w:rsidRPr="00B72171" w:rsidRDefault="00000000">
      <w:pPr>
        <w:spacing w:after="120"/>
        <w:rPr>
          <w:rFonts w:ascii="Garamond" w:hAnsi="Garamond"/>
          <w:color w:val="000000" w:themeColor="text1"/>
          <w:sz w:val="24"/>
          <w:szCs w:val="24"/>
        </w:rPr>
      </w:pPr>
      <w:r w:rsidRPr="00B72171">
        <w:rPr>
          <w:rFonts w:ascii="Garamond" w:hAnsi="Garamond"/>
          <w:color w:val="000000" w:themeColor="text1"/>
          <w:sz w:val="24"/>
          <w:szCs w:val="24"/>
        </w:rPr>
        <w:t>Complete this log as soon as possible after the session, while memory is fresh. It does not need to be long. If significant distress is present, consult a supervisor or peer before proceeding with the next difficult task.</w:t>
      </w:r>
    </w:p>
    <w:p w14:paraId="4C5C2328" w14:textId="77777777" w:rsidR="00E3316C" w:rsidRPr="00B72171" w:rsidRDefault="00E3316C">
      <w:pPr>
        <w:spacing w:before="60" w:after="60"/>
        <w:rPr>
          <w:rFonts w:ascii="Garamond" w:hAnsi="Garamond"/>
          <w:color w:val="000000" w:themeColor="text1"/>
          <w:sz w:val="24"/>
          <w:szCs w:val="24"/>
        </w:rPr>
      </w:pPr>
    </w:p>
    <w:p w14:paraId="05BDA03C" w14:textId="77777777" w:rsidR="00E3316C" w:rsidRPr="00B72171" w:rsidRDefault="00000000">
      <w:pPr>
        <w:pStyle w:val="Heading3"/>
        <w:rPr>
          <w:rFonts w:ascii="Garamond" w:hAnsi="Garamond"/>
          <w:color w:val="000000" w:themeColor="text1"/>
          <w:sz w:val="24"/>
          <w:szCs w:val="24"/>
        </w:rPr>
      </w:pPr>
      <w:proofErr w:type="gramStart"/>
      <w:r w:rsidRPr="00B72171">
        <w:rPr>
          <w:rFonts w:ascii="Garamond" w:hAnsi="Garamond"/>
          <w:color w:val="000000" w:themeColor="text1"/>
          <w:sz w:val="24"/>
          <w:szCs w:val="24"/>
        </w:rPr>
        <w:t>F.1  Post</w:t>
      </w:r>
      <w:proofErr w:type="gramEnd"/>
      <w:r w:rsidRPr="00B72171">
        <w:rPr>
          <w:rFonts w:ascii="Garamond" w:hAnsi="Garamond"/>
          <w:color w:val="000000" w:themeColor="text1"/>
          <w:sz w:val="24"/>
          <w:szCs w:val="24"/>
        </w:rPr>
        <w:t>-Session Reflection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40"/>
        <w:gridCol w:w="3120"/>
      </w:tblGrid>
      <w:tr w:rsidR="00E3316C" w:rsidRPr="00102618" w14:paraId="1042BE15" w14:textId="77777777">
        <w:trPr>
          <w:tblHeader/>
        </w:trPr>
        <w:tc>
          <w:tcPr>
            <w:tcW w:w="624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56B8C416" w14:textId="77777777" w:rsidR="00E3316C" w:rsidRPr="00102618" w:rsidRDefault="00000000">
            <w:pPr>
              <w:rPr>
                <w:rFonts w:ascii="Garamond" w:hAnsi="Garamond"/>
                <w:sz w:val="24"/>
                <w:szCs w:val="24"/>
              </w:rPr>
            </w:pPr>
            <w:r w:rsidRPr="00102618">
              <w:rPr>
                <w:rFonts w:ascii="Garamond" w:hAnsi="Garamond"/>
                <w:b/>
                <w:bCs/>
                <w:color w:val="FFFFFF"/>
                <w:sz w:val="24"/>
                <w:szCs w:val="24"/>
              </w:rPr>
              <w:t>Reflection Prompt</w:t>
            </w:r>
          </w:p>
        </w:tc>
        <w:tc>
          <w:tcPr>
            <w:tcW w:w="31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094752DE" w14:textId="77777777" w:rsidR="00E3316C" w:rsidRPr="00102618" w:rsidRDefault="00000000">
            <w:pPr>
              <w:rPr>
                <w:rFonts w:ascii="Garamond" w:hAnsi="Garamond"/>
                <w:sz w:val="24"/>
                <w:szCs w:val="24"/>
              </w:rPr>
            </w:pPr>
            <w:r w:rsidRPr="00102618">
              <w:rPr>
                <w:rFonts w:ascii="Garamond" w:hAnsi="Garamond"/>
                <w:b/>
                <w:bCs/>
                <w:color w:val="FFFFFF"/>
                <w:sz w:val="24"/>
                <w:szCs w:val="24"/>
              </w:rPr>
              <w:t>Response</w:t>
            </w:r>
          </w:p>
        </w:tc>
      </w:tr>
      <w:tr w:rsidR="00E3316C" w:rsidRPr="00102618" w14:paraId="1D6B1B5A" w14:textId="77777777">
        <w:tc>
          <w:tcPr>
            <w:tcW w:w="6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6B82DE47" w14:textId="77777777" w:rsidR="00E3316C" w:rsidRPr="00102618" w:rsidRDefault="00000000">
            <w:pPr>
              <w:rPr>
                <w:rFonts w:ascii="Garamond" w:hAnsi="Garamond"/>
                <w:sz w:val="24"/>
                <w:szCs w:val="24"/>
              </w:rPr>
            </w:pPr>
            <w:r w:rsidRPr="00102618">
              <w:rPr>
                <w:rFonts w:ascii="Garamond" w:hAnsi="Garamond"/>
                <w:sz w:val="24"/>
                <w:szCs w:val="24"/>
              </w:rPr>
              <w:t>Where did we deviate from the CIAS roadmap today? Why?</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169641E8" w14:textId="77777777" w:rsidR="00E3316C" w:rsidRPr="00102618" w:rsidRDefault="00E3316C">
            <w:pPr>
              <w:rPr>
                <w:rFonts w:ascii="Garamond" w:hAnsi="Garamond"/>
                <w:sz w:val="24"/>
                <w:szCs w:val="24"/>
              </w:rPr>
            </w:pPr>
          </w:p>
        </w:tc>
      </w:tr>
      <w:tr w:rsidR="00E3316C" w:rsidRPr="00102618" w14:paraId="679DC53B" w14:textId="77777777">
        <w:tc>
          <w:tcPr>
            <w:tcW w:w="62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31051CC5" w14:textId="77777777" w:rsidR="00E3316C" w:rsidRPr="00102618" w:rsidRDefault="00000000">
            <w:pPr>
              <w:rPr>
                <w:rFonts w:ascii="Garamond" w:hAnsi="Garamond"/>
                <w:sz w:val="24"/>
                <w:szCs w:val="24"/>
              </w:rPr>
            </w:pPr>
            <w:r w:rsidRPr="00102618">
              <w:rPr>
                <w:rFonts w:ascii="Garamond" w:hAnsi="Garamond"/>
                <w:sz w:val="24"/>
                <w:szCs w:val="24"/>
              </w:rPr>
              <w:t>What topic created the most emotional output or confusion?</w:t>
            </w:r>
          </w:p>
        </w:tc>
        <w:tc>
          <w:tcPr>
            <w:tcW w:w="31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2C2D7993" w14:textId="77777777" w:rsidR="00E3316C" w:rsidRPr="00102618" w:rsidRDefault="00E3316C">
            <w:pPr>
              <w:rPr>
                <w:rFonts w:ascii="Garamond" w:hAnsi="Garamond"/>
                <w:sz w:val="24"/>
                <w:szCs w:val="24"/>
              </w:rPr>
            </w:pPr>
          </w:p>
        </w:tc>
      </w:tr>
      <w:tr w:rsidR="00E3316C" w:rsidRPr="00102618" w14:paraId="3C11BCC9" w14:textId="77777777">
        <w:tc>
          <w:tcPr>
            <w:tcW w:w="6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AA4578E" w14:textId="77777777" w:rsidR="00E3316C" w:rsidRPr="00102618" w:rsidRDefault="00000000">
            <w:pPr>
              <w:rPr>
                <w:rFonts w:ascii="Garamond" w:hAnsi="Garamond"/>
                <w:sz w:val="24"/>
                <w:szCs w:val="24"/>
              </w:rPr>
            </w:pPr>
            <w:r w:rsidRPr="00102618">
              <w:rPr>
                <w:rFonts w:ascii="Garamond" w:hAnsi="Garamond"/>
                <w:sz w:val="24"/>
                <w:szCs w:val="24"/>
              </w:rPr>
              <w:t>What bridge script or containment step helped, and what should change next time?</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7DBFA45F" w14:textId="77777777" w:rsidR="00E3316C" w:rsidRPr="00102618" w:rsidRDefault="00E3316C">
            <w:pPr>
              <w:rPr>
                <w:rFonts w:ascii="Garamond" w:hAnsi="Garamond"/>
                <w:sz w:val="24"/>
                <w:szCs w:val="24"/>
              </w:rPr>
            </w:pPr>
          </w:p>
        </w:tc>
      </w:tr>
      <w:tr w:rsidR="00E3316C" w:rsidRPr="00102618" w14:paraId="09655B22" w14:textId="77777777">
        <w:tc>
          <w:tcPr>
            <w:tcW w:w="62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0F8430A2" w14:textId="77777777" w:rsidR="00E3316C" w:rsidRPr="00102618" w:rsidRDefault="00000000">
            <w:pPr>
              <w:rPr>
                <w:rFonts w:ascii="Garamond" w:hAnsi="Garamond"/>
                <w:sz w:val="24"/>
                <w:szCs w:val="24"/>
              </w:rPr>
            </w:pPr>
            <w:r w:rsidRPr="00102618">
              <w:rPr>
                <w:rFonts w:ascii="Garamond" w:hAnsi="Garamond"/>
                <w:sz w:val="24"/>
                <w:szCs w:val="24"/>
              </w:rPr>
              <w:t>What emotional residue am I carrying right now?</w:t>
            </w:r>
          </w:p>
        </w:tc>
        <w:tc>
          <w:tcPr>
            <w:tcW w:w="31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5D4A6083" w14:textId="77777777" w:rsidR="00E3316C" w:rsidRPr="00102618" w:rsidRDefault="00E3316C">
            <w:pPr>
              <w:rPr>
                <w:rFonts w:ascii="Garamond" w:hAnsi="Garamond"/>
                <w:sz w:val="24"/>
                <w:szCs w:val="24"/>
              </w:rPr>
            </w:pPr>
          </w:p>
        </w:tc>
      </w:tr>
      <w:tr w:rsidR="00E3316C" w:rsidRPr="00102618" w14:paraId="2B0EB3F0" w14:textId="77777777">
        <w:tc>
          <w:tcPr>
            <w:tcW w:w="6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1065DD27" w14:textId="77777777" w:rsidR="00E3316C" w:rsidRPr="00102618" w:rsidRDefault="00000000">
            <w:pPr>
              <w:rPr>
                <w:rFonts w:ascii="Garamond" w:hAnsi="Garamond"/>
                <w:sz w:val="24"/>
                <w:szCs w:val="24"/>
              </w:rPr>
            </w:pPr>
            <w:r w:rsidRPr="00102618">
              <w:rPr>
                <w:rFonts w:ascii="Garamond" w:hAnsi="Garamond"/>
                <w:sz w:val="24"/>
                <w:szCs w:val="24"/>
              </w:rPr>
              <w:t>What requires extra attention in the next session?</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EE1E4AE" w14:textId="77777777" w:rsidR="00E3316C" w:rsidRPr="00102618" w:rsidRDefault="00E3316C">
            <w:pPr>
              <w:rPr>
                <w:rFonts w:ascii="Garamond" w:hAnsi="Garamond"/>
                <w:sz w:val="24"/>
                <w:szCs w:val="24"/>
              </w:rPr>
            </w:pPr>
          </w:p>
        </w:tc>
      </w:tr>
      <w:tr w:rsidR="00E3316C" w:rsidRPr="00102618" w14:paraId="2CD5555F" w14:textId="77777777">
        <w:tc>
          <w:tcPr>
            <w:tcW w:w="62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6E19D806" w14:textId="77777777" w:rsidR="00E3316C" w:rsidRPr="00102618" w:rsidRDefault="00000000">
            <w:pPr>
              <w:rPr>
                <w:rFonts w:ascii="Garamond" w:hAnsi="Garamond"/>
                <w:sz w:val="24"/>
                <w:szCs w:val="24"/>
              </w:rPr>
            </w:pPr>
            <w:r w:rsidRPr="00102618">
              <w:rPr>
                <w:rFonts w:ascii="Garamond" w:hAnsi="Garamond"/>
                <w:sz w:val="24"/>
                <w:szCs w:val="24"/>
              </w:rPr>
              <w:t>Do I need consultation, debrief, pause, or referral support before proceeding?</w:t>
            </w:r>
          </w:p>
        </w:tc>
        <w:tc>
          <w:tcPr>
            <w:tcW w:w="31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70815636" w14:textId="77777777" w:rsidR="00E3316C" w:rsidRPr="00102618" w:rsidRDefault="00E3316C">
            <w:pPr>
              <w:rPr>
                <w:rFonts w:ascii="Garamond" w:hAnsi="Garamond"/>
                <w:sz w:val="24"/>
                <w:szCs w:val="24"/>
              </w:rPr>
            </w:pPr>
          </w:p>
        </w:tc>
      </w:tr>
    </w:tbl>
    <w:p w14:paraId="0F38EBD1" w14:textId="77777777" w:rsidR="00E3316C" w:rsidRDefault="00E3316C">
      <w:pPr>
        <w:spacing w:before="60" w:after="60"/>
        <w:rPr>
          <w:rFonts w:ascii="Garamond" w:hAnsi="Garamond"/>
          <w:sz w:val="24"/>
          <w:szCs w:val="24"/>
        </w:rPr>
      </w:pPr>
    </w:p>
    <w:p w14:paraId="0B41F707" w14:textId="77777777" w:rsidR="00102618" w:rsidRPr="00102618" w:rsidRDefault="00102618">
      <w:pPr>
        <w:spacing w:before="60" w:after="60"/>
        <w:rPr>
          <w:rFonts w:ascii="Garamond" w:hAnsi="Garamond"/>
          <w:sz w:val="24"/>
          <w:szCs w:val="24"/>
        </w:rPr>
      </w:pPr>
    </w:p>
    <w:p w14:paraId="15BB5D49" w14:textId="77777777" w:rsidR="00E3316C" w:rsidRPr="00B72171" w:rsidRDefault="00000000">
      <w:pPr>
        <w:pStyle w:val="Heading3"/>
        <w:rPr>
          <w:rFonts w:ascii="Garamond" w:hAnsi="Garamond"/>
          <w:color w:val="000000" w:themeColor="text1"/>
          <w:sz w:val="24"/>
          <w:szCs w:val="24"/>
        </w:rPr>
      </w:pPr>
      <w:proofErr w:type="gramStart"/>
      <w:r w:rsidRPr="00B72171">
        <w:rPr>
          <w:rFonts w:ascii="Garamond" w:hAnsi="Garamond"/>
          <w:color w:val="000000" w:themeColor="text1"/>
          <w:sz w:val="24"/>
          <w:szCs w:val="24"/>
        </w:rPr>
        <w:lastRenderedPageBreak/>
        <w:t>F.2  Three</w:t>
      </w:r>
      <w:proofErr w:type="gramEnd"/>
      <w:r w:rsidRPr="00B72171">
        <w:rPr>
          <w:rFonts w:ascii="Garamond" w:hAnsi="Garamond"/>
          <w:color w:val="000000" w:themeColor="text1"/>
          <w:sz w:val="24"/>
          <w:szCs w:val="24"/>
        </w:rPr>
        <w:t>-Minute Close-Out Checklist</w:t>
      </w:r>
    </w:p>
    <w:p w14:paraId="4FF68160" w14:textId="77777777" w:rsidR="00E3316C" w:rsidRPr="00102618" w:rsidRDefault="00000000">
      <w:pPr>
        <w:spacing w:after="60"/>
        <w:ind w:left="360" w:hanging="360"/>
        <w:rPr>
          <w:rFonts w:ascii="Garamond" w:hAnsi="Garamond"/>
          <w:sz w:val="24"/>
          <w:szCs w:val="24"/>
        </w:rPr>
      </w:pPr>
      <w:proofErr w:type="gramStart"/>
      <w:r w:rsidRPr="00102618">
        <w:rPr>
          <w:rFonts w:ascii="Segoe UI Symbol" w:hAnsi="Segoe UI Symbol" w:cs="Segoe UI Symbol"/>
          <w:sz w:val="24"/>
          <w:szCs w:val="24"/>
        </w:rPr>
        <w:t>☐</w:t>
      </w:r>
      <w:r w:rsidRPr="00102618">
        <w:rPr>
          <w:rFonts w:ascii="Garamond" w:hAnsi="Garamond"/>
          <w:sz w:val="24"/>
          <w:szCs w:val="24"/>
        </w:rPr>
        <w:t xml:space="preserve">  Note</w:t>
      </w:r>
      <w:proofErr w:type="gramEnd"/>
      <w:r w:rsidRPr="00102618">
        <w:rPr>
          <w:rFonts w:ascii="Garamond" w:hAnsi="Garamond"/>
          <w:sz w:val="24"/>
          <w:szCs w:val="24"/>
        </w:rPr>
        <w:t xml:space="preserve"> what felt heavy, stuck, or unfinished.</w:t>
      </w:r>
    </w:p>
    <w:p w14:paraId="3ECE2122" w14:textId="77777777" w:rsidR="00E3316C" w:rsidRPr="00102618" w:rsidRDefault="00000000">
      <w:pPr>
        <w:spacing w:after="60"/>
        <w:ind w:left="360" w:hanging="360"/>
        <w:rPr>
          <w:rFonts w:ascii="Garamond" w:hAnsi="Garamond"/>
          <w:sz w:val="24"/>
          <w:szCs w:val="24"/>
        </w:rPr>
      </w:pPr>
      <w:proofErr w:type="gramStart"/>
      <w:r w:rsidRPr="00102618">
        <w:rPr>
          <w:rFonts w:ascii="Segoe UI Symbol" w:hAnsi="Segoe UI Symbol" w:cs="Segoe UI Symbol"/>
          <w:sz w:val="24"/>
          <w:szCs w:val="24"/>
        </w:rPr>
        <w:t>☐</w:t>
      </w:r>
      <w:r w:rsidRPr="00102618">
        <w:rPr>
          <w:rFonts w:ascii="Garamond" w:hAnsi="Garamond"/>
          <w:sz w:val="24"/>
          <w:szCs w:val="24"/>
        </w:rPr>
        <w:t xml:space="preserve">  Separate</w:t>
      </w:r>
      <w:proofErr w:type="gramEnd"/>
      <w:r w:rsidRPr="00102618">
        <w:rPr>
          <w:rFonts w:ascii="Garamond" w:hAnsi="Garamond"/>
          <w:sz w:val="24"/>
          <w:szCs w:val="24"/>
        </w:rPr>
        <w:t xml:space="preserve"> legal urgency from emotional residue.</w:t>
      </w:r>
    </w:p>
    <w:p w14:paraId="04D9E65A" w14:textId="77777777" w:rsidR="00E3316C" w:rsidRPr="00102618" w:rsidRDefault="00000000">
      <w:pPr>
        <w:spacing w:after="60"/>
        <w:ind w:left="360" w:hanging="360"/>
        <w:rPr>
          <w:rFonts w:ascii="Garamond" w:hAnsi="Garamond"/>
          <w:sz w:val="24"/>
          <w:szCs w:val="24"/>
        </w:rPr>
      </w:pPr>
      <w:proofErr w:type="gramStart"/>
      <w:r w:rsidRPr="00102618">
        <w:rPr>
          <w:rFonts w:ascii="Segoe UI Symbol" w:hAnsi="Segoe UI Symbol" w:cs="Segoe UI Symbol"/>
          <w:sz w:val="24"/>
          <w:szCs w:val="24"/>
        </w:rPr>
        <w:t>☐</w:t>
      </w:r>
      <w:r w:rsidRPr="00102618">
        <w:rPr>
          <w:rFonts w:ascii="Garamond" w:hAnsi="Garamond"/>
          <w:sz w:val="24"/>
          <w:szCs w:val="24"/>
        </w:rPr>
        <w:t xml:space="preserve">  If</w:t>
      </w:r>
      <w:proofErr w:type="gramEnd"/>
      <w:r w:rsidRPr="00102618">
        <w:rPr>
          <w:rFonts w:ascii="Garamond" w:hAnsi="Garamond"/>
          <w:sz w:val="24"/>
          <w:szCs w:val="24"/>
        </w:rPr>
        <w:t xml:space="preserve"> needed, consult, debrief, or pause before the next difficult task.</w:t>
      </w:r>
    </w:p>
    <w:p w14:paraId="3666CBBC" w14:textId="77777777" w:rsidR="00E3316C" w:rsidRPr="00102618" w:rsidRDefault="00000000">
      <w:pPr>
        <w:spacing w:after="60"/>
        <w:ind w:left="360" w:hanging="360"/>
        <w:rPr>
          <w:rFonts w:ascii="Garamond" w:hAnsi="Garamond"/>
          <w:sz w:val="24"/>
          <w:szCs w:val="24"/>
        </w:rPr>
      </w:pPr>
      <w:proofErr w:type="gramStart"/>
      <w:r w:rsidRPr="00102618">
        <w:rPr>
          <w:rFonts w:ascii="Segoe UI Symbol" w:hAnsi="Segoe UI Symbol" w:cs="Segoe UI Symbol"/>
          <w:sz w:val="24"/>
          <w:szCs w:val="24"/>
        </w:rPr>
        <w:t>☐</w:t>
      </w:r>
      <w:r w:rsidRPr="00102618">
        <w:rPr>
          <w:rFonts w:ascii="Garamond" w:hAnsi="Garamond"/>
          <w:sz w:val="24"/>
          <w:szCs w:val="24"/>
        </w:rPr>
        <w:t xml:space="preserve">  Watch</w:t>
      </w:r>
      <w:proofErr w:type="gramEnd"/>
      <w:r w:rsidRPr="00102618">
        <w:rPr>
          <w:rFonts w:ascii="Garamond" w:hAnsi="Garamond"/>
          <w:sz w:val="24"/>
          <w:szCs w:val="24"/>
        </w:rPr>
        <w:t xml:space="preserve"> for accumulation: irritability, numbness, dread, over-identification, or avoidance.</w:t>
      </w:r>
    </w:p>
    <w:p w14:paraId="20A2B840" w14:textId="77777777" w:rsidR="00E3316C" w:rsidRPr="00102618" w:rsidRDefault="00000000">
      <w:pPr>
        <w:rPr>
          <w:rFonts w:ascii="Garamond" w:hAnsi="Garamond"/>
          <w:sz w:val="24"/>
          <w:szCs w:val="24"/>
        </w:rPr>
      </w:pPr>
      <w:r w:rsidRPr="00102618">
        <w:rPr>
          <w:rFonts w:ascii="Garamond" w:hAnsi="Garamond"/>
          <w:sz w:val="24"/>
          <w:szCs w:val="24"/>
        </w:rPr>
        <w:br w:type="page"/>
      </w:r>
    </w:p>
    <w:p w14:paraId="1D8337A2" w14:textId="77777777" w:rsidR="00E3316C" w:rsidRPr="00102618" w:rsidRDefault="00000000">
      <w:pPr>
        <w:pStyle w:val="Heading1"/>
        <w:shd w:val="clear" w:color="auto" w:fill="1F3864"/>
        <w:ind w:left="140"/>
        <w:rPr>
          <w:rFonts w:ascii="Garamond" w:hAnsi="Garamond"/>
          <w:sz w:val="24"/>
          <w:szCs w:val="24"/>
        </w:rPr>
      </w:pPr>
      <w:r w:rsidRPr="00102618">
        <w:rPr>
          <w:rFonts w:ascii="Garamond" w:hAnsi="Garamond"/>
          <w:sz w:val="24"/>
          <w:szCs w:val="24"/>
        </w:rPr>
        <w:lastRenderedPageBreak/>
        <w:t>Appendix G. Optional Client-Facing Visual Supports for Narrative Elicitation</w:t>
      </w:r>
    </w:p>
    <w:p w14:paraId="4DFA0729" w14:textId="77777777" w:rsidR="00E3316C" w:rsidRPr="00102618" w:rsidRDefault="00E3316C">
      <w:pPr>
        <w:spacing w:before="60" w:after="60"/>
        <w:rPr>
          <w:rFonts w:ascii="Garamond" w:hAnsi="Garamond"/>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3316C" w:rsidRPr="00102618" w14:paraId="4C57A1CE" w14:textId="77777777">
        <w:tc>
          <w:tcPr>
            <w:tcW w:w="9360" w:type="dxa"/>
            <w:tcBorders>
              <w:top w:val="single" w:sz="8" w:space="0" w:color="1F3864"/>
              <w:left w:val="single" w:sz="8" w:space="0" w:color="1F3864"/>
              <w:bottom w:val="single" w:sz="4" w:space="0" w:color="1F3864"/>
              <w:right w:val="single" w:sz="8" w:space="0" w:color="1F3864"/>
            </w:tcBorders>
            <w:shd w:val="clear" w:color="auto" w:fill="D6E4F0"/>
            <w:tcMar>
              <w:top w:w="120" w:type="dxa"/>
              <w:left w:w="160" w:type="dxa"/>
              <w:bottom w:w="120" w:type="dxa"/>
              <w:right w:w="160" w:type="dxa"/>
            </w:tcMar>
          </w:tcPr>
          <w:p w14:paraId="0BF18A69" w14:textId="77777777" w:rsidR="00E3316C" w:rsidRPr="00102618" w:rsidRDefault="00000000">
            <w:pPr>
              <w:spacing w:after="120"/>
              <w:rPr>
                <w:rFonts w:ascii="Garamond" w:hAnsi="Garamond"/>
                <w:sz w:val="24"/>
                <w:szCs w:val="24"/>
              </w:rPr>
            </w:pPr>
            <w:r w:rsidRPr="00102618">
              <w:rPr>
                <w:rFonts w:ascii="Garamond" w:hAnsi="Garamond"/>
                <w:b/>
                <w:bCs/>
                <w:sz w:val="24"/>
                <w:szCs w:val="24"/>
              </w:rPr>
              <w:t xml:space="preserve">Purpose.  </w:t>
            </w:r>
            <w:r w:rsidRPr="00102618">
              <w:rPr>
                <w:rFonts w:ascii="Garamond" w:hAnsi="Garamond"/>
                <w:sz w:val="24"/>
                <w:szCs w:val="24"/>
              </w:rPr>
              <w:t>These optional visual supports help clients organize memories, relationships, movement, and safety concerns when verbal recall is fragmented, non-linear, overwhelming, or difficult to express in a conventional question-and-answer format. Research on trauma-informed communication supports the use of externalized, low-pressure organizational aids to reduce anxiety and improve the quality of recalled information in high-stakes disclosure contexts (SAMHSA, 2014; Khan et al., 2021). These tools support legal interviewing; they do not replace it.</w:t>
            </w:r>
          </w:p>
        </w:tc>
      </w:tr>
    </w:tbl>
    <w:p w14:paraId="58E7367F" w14:textId="77777777" w:rsidR="00E3316C" w:rsidRPr="00102618" w:rsidRDefault="00E3316C">
      <w:pPr>
        <w:spacing w:before="60" w:after="60"/>
        <w:rPr>
          <w:rFonts w:ascii="Garamond" w:hAnsi="Garamond"/>
          <w:sz w:val="24"/>
          <w:szCs w:val="24"/>
        </w:rPr>
      </w:pPr>
    </w:p>
    <w:p w14:paraId="39229E19" w14:textId="77777777" w:rsidR="00E3316C" w:rsidRPr="00B72171" w:rsidRDefault="00000000">
      <w:pPr>
        <w:pStyle w:val="Heading3"/>
        <w:rPr>
          <w:rFonts w:ascii="Garamond" w:hAnsi="Garamond"/>
          <w:color w:val="000000" w:themeColor="text1"/>
          <w:sz w:val="24"/>
          <w:szCs w:val="24"/>
        </w:rPr>
      </w:pPr>
      <w:r w:rsidRPr="00B72171">
        <w:rPr>
          <w:rFonts w:ascii="Garamond" w:hAnsi="Garamond"/>
          <w:color w:val="000000" w:themeColor="text1"/>
          <w:sz w:val="24"/>
          <w:szCs w:val="24"/>
        </w:rPr>
        <w:t>Use These Tools When</w:t>
      </w:r>
    </w:p>
    <w:p w14:paraId="0017F782" w14:textId="77777777" w:rsidR="00E3316C" w:rsidRPr="00B72171" w:rsidRDefault="00000000">
      <w:pPr>
        <w:pStyle w:val="ListParagraph"/>
        <w:numPr>
          <w:ilvl w:val="0"/>
          <w:numId w:val="2"/>
        </w:numPr>
        <w:spacing w:after="60"/>
        <w:rPr>
          <w:rFonts w:ascii="Garamond" w:hAnsi="Garamond"/>
          <w:color w:val="000000" w:themeColor="text1"/>
          <w:sz w:val="24"/>
          <w:szCs w:val="24"/>
        </w:rPr>
      </w:pPr>
      <w:r w:rsidRPr="00B72171">
        <w:rPr>
          <w:rFonts w:ascii="Garamond" w:hAnsi="Garamond"/>
          <w:color w:val="000000" w:themeColor="text1"/>
          <w:sz w:val="24"/>
          <w:szCs w:val="24"/>
        </w:rPr>
        <w:t>The client remembers in scenes, fragments, or sensory snapshots rather than linear chronology.</w:t>
      </w:r>
    </w:p>
    <w:p w14:paraId="327EE236" w14:textId="77777777" w:rsidR="00E3316C" w:rsidRPr="00B72171" w:rsidRDefault="00000000">
      <w:pPr>
        <w:pStyle w:val="ListParagraph"/>
        <w:numPr>
          <w:ilvl w:val="0"/>
          <w:numId w:val="2"/>
        </w:numPr>
        <w:spacing w:after="60"/>
        <w:rPr>
          <w:rFonts w:ascii="Garamond" w:hAnsi="Garamond"/>
          <w:color w:val="000000" w:themeColor="text1"/>
          <w:sz w:val="24"/>
          <w:szCs w:val="24"/>
        </w:rPr>
      </w:pPr>
      <w:r w:rsidRPr="00B72171">
        <w:rPr>
          <w:rFonts w:ascii="Garamond" w:hAnsi="Garamond"/>
          <w:color w:val="000000" w:themeColor="text1"/>
          <w:sz w:val="24"/>
          <w:szCs w:val="24"/>
        </w:rPr>
        <w:t>Exact dates are difficult to recall.</w:t>
      </w:r>
    </w:p>
    <w:p w14:paraId="48B8FCFF" w14:textId="77777777" w:rsidR="00E3316C" w:rsidRPr="00B72171" w:rsidRDefault="00000000">
      <w:pPr>
        <w:pStyle w:val="ListParagraph"/>
        <w:numPr>
          <w:ilvl w:val="0"/>
          <w:numId w:val="2"/>
        </w:numPr>
        <w:spacing w:after="60"/>
        <w:rPr>
          <w:rFonts w:ascii="Garamond" w:hAnsi="Garamond"/>
          <w:color w:val="000000" w:themeColor="text1"/>
          <w:sz w:val="24"/>
          <w:szCs w:val="24"/>
        </w:rPr>
      </w:pPr>
      <w:r w:rsidRPr="00B72171">
        <w:rPr>
          <w:rFonts w:ascii="Garamond" w:hAnsi="Garamond"/>
          <w:color w:val="000000" w:themeColor="text1"/>
          <w:sz w:val="24"/>
          <w:szCs w:val="24"/>
        </w:rPr>
        <w:t>The client keeps referring to "they" or other vague actors.</w:t>
      </w:r>
    </w:p>
    <w:p w14:paraId="7BCE9FC5" w14:textId="77777777" w:rsidR="00E3316C" w:rsidRPr="00B72171" w:rsidRDefault="00000000">
      <w:pPr>
        <w:pStyle w:val="ListParagraph"/>
        <w:numPr>
          <w:ilvl w:val="0"/>
          <w:numId w:val="2"/>
        </w:numPr>
        <w:spacing w:after="60"/>
        <w:rPr>
          <w:rFonts w:ascii="Garamond" w:hAnsi="Garamond"/>
          <w:color w:val="000000" w:themeColor="text1"/>
          <w:sz w:val="24"/>
          <w:szCs w:val="24"/>
        </w:rPr>
      </w:pPr>
      <w:r w:rsidRPr="00B72171">
        <w:rPr>
          <w:rFonts w:ascii="Garamond" w:hAnsi="Garamond"/>
          <w:color w:val="000000" w:themeColor="text1"/>
          <w:sz w:val="24"/>
          <w:szCs w:val="24"/>
        </w:rPr>
        <w:t>The client becomes overwhelmed when asked to narrate continuously.</w:t>
      </w:r>
    </w:p>
    <w:p w14:paraId="40D4404D" w14:textId="77777777" w:rsidR="00E3316C" w:rsidRPr="00B72171" w:rsidRDefault="00000000">
      <w:pPr>
        <w:pStyle w:val="ListParagraph"/>
        <w:numPr>
          <w:ilvl w:val="0"/>
          <w:numId w:val="2"/>
        </w:numPr>
        <w:spacing w:after="60"/>
        <w:rPr>
          <w:rFonts w:ascii="Garamond" w:hAnsi="Garamond"/>
          <w:color w:val="000000" w:themeColor="text1"/>
          <w:sz w:val="24"/>
          <w:szCs w:val="24"/>
        </w:rPr>
      </w:pPr>
      <w:r w:rsidRPr="00B72171">
        <w:rPr>
          <w:rFonts w:ascii="Garamond" w:hAnsi="Garamond"/>
          <w:color w:val="000000" w:themeColor="text1"/>
          <w:sz w:val="24"/>
          <w:szCs w:val="24"/>
        </w:rPr>
        <w:t>Interpreter-mediated communication is making sequence or meaning difficult to track.</w:t>
      </w:r>
    </w:p>
    <w:p w14:paraId="29B3ADDB" w14:textId="77777777" w:rsidR="00E3316C" w:rsidRPr="00B72171" w:rsidRDefault="00000000">
      <w:pPr>
        <w:pStyle w:val="ListParagraph"/>
        <w:numPr>
          <w:ilvl w:val="0"/>
          <w:numId w:val="2"/>
        </w:numPr>
        <w:spacing w:after="60"/>
        <w:rPr>
          <w:rFonts w:ascii="Garamond" w:hAnsi="Garamond"/>
          <w:color w:val="000000" w:themeColor="text1"/>
          <w:sz w:val="24"/>
          <w:szCs w:val="24"/>
        </w:rPr>
      </w:pPr>
      <w:r w:rsidRPr="00B72171">
        <w:rPr>
          <w:rFonts w:ascii="Garamond" w:hAnsi="Garamond"/>
          <w:color w:val="000000" w:themeColor="text1"/>
          <w:sz w:val="24"/>
          <w:szCs w:val="24"/>
        </w:rPr>
        <w:t>The client is a child, was harmed as a minor, or appears to think in developmental or event-anchor terms rather than calendar time.</w:t>
      </w:r>
    </w:p>
    <w:p w14:paraId="6D2162E7" w14:textId="77777777" w:rsidR="00E3316C" w:rsidRPr="00B72171" w:rsidRDefault="00E3316C">
      <w:pPr>
        <w:spacing w:before="60" w:after="60"/>
        <w:rPr>
          <w:rFonts w:ascii="Garamond" w:hAnsi="Garamond"/>
          <w:color w:val="000000" w:themeColor="text1"/>
          <w:sz w:val="24"/>
          <w:szCs w:val="24"/>
        </w:rPr>
      </w:pPr>
    </w:p>
    <w:p w14:paraId="34DC2889" w14:textId="77777777" w:rsidR="00E3316C" w:rsidRPr="00B72171" w:rsidRDefault="00000000">
      <w:pPr>
        <w:pStyle w:val="Heading3"/>
        <w:rPr>
          <w:rFonts w:ascii="Garamond" w:hAnsi="Garamond"/>
          <w:color w:val="000000" w:themeColor="text1"/>
          <w:sz w:val="24"/>
          <w:szCs w:val="24"/>
        </w:rPr>
      </w:pPr>
      <w:r w:rsidRPr="00B72171">
        <w:rPr>
          <w:rFonts w:ascii="Garamond" w:hAnsi="Garamond"/>
          <w:color w:val="000000" w:themeColor="text1"/>
          <w:sz w:val="24"/>
          <w:szCs w:val="24"/>
        </w:rPr>
        <w:t>Practice Note</w:t>
      </w:r>
    </w:p>
    <w:p w14:paraId="7D0BE9E8" w14:textId="77777777" w:rsidR="00E3316C" w:rsidRPr="00B72171" w:rsidRDefault="00000000">
      <w:pPr>
        <w:spacing w:after="120"/>
        <w:rPr>
          <w:rFonts w:ascii="Garamond" w:hAnsi="Garamond"/>
          <w:color w:val="000000" w:themeColor="text1"/>
          <w:sz w:val="24"/>
          <w:szCs w:val="24"/>
        </w:rPr>
      </w:pPr>
      <w:r w:rsidRPr="00B72171">
        <w:rPr>
          <w:rFonts w:ascii="Garamond" w:hAnsi="Garamond"/>
          <w:color w:val="000000" w:themeColor="text1"/>
          <w:sz w:val="24"/>
          <w:szCs w:val="24"/>
        </w:rPr>
        <w:t>These visual supports are optional. They should be offered gently, not imposed. A client may speak, point, circle, write, or skip sections. The goal is to reduce pressure and help organize information—not to test memory or require a coherent account before the client is ready.</w:t>
      </w:r>
    </w:p>
    <w:p w14:paraId="4D1956D3" w14:textId="77777777" w:rsidR="00E3316C" w:rsidRPr="00B72171" w:rsidRDefault="00E3316C">
      <w:pPr>
        <w:spacing w:before="60" w:after="60"/>
        <w:rPr>
          <w:rFonts w:ascii="Garamond" w:hAnsi="Garamond"/>
          <w:color w:val="000000" w:themeColor="text1"/>
          <w:sz w:val="24"/>
          <w:szCs w:val="24"/>
        </w:rPr>
      </w:pPr>
    </w:p>
    <w:p w14:paraId="6024CBEB" w14:textId="77777777" w:rsidR="00E3316C" w:rsidRPr="00B72171" w:rsidRDefault="00000000">
      <w:pPr>
        <w:pStyle w:val="Heading3"/>
        <w:rPr>
          <w:rFonts w:ascii="Garamond" w:hAnsi="Garamond"/>
          <w:color w:val="000000" w:themeColor="text1"/>
          <w:sz w:val="24"/>
          <w:szCs w:val="24"/>
        </w:rPr>
      </w:pPr>
      <w:proofErr w:type="gramStart"/>
      <w:r w:rsidRPr="00B72171">
        <w:rPr>
          <w:rFonts w:ascii="Garamond" w:hAnsi="Garamond"/>
          <w:color w:val="000000" w:themeColor="text1"/>
          <w:sz w:val="24"/>
          <w:szCs w:val="24"/>
        </w:rPr>
        <w:t>G.1  Event</w:t>
      </w:r>
      <w:proofErr w:type="gramEnd"/>
      <w:r w:rsidRPr="00B72171">
        <w:rPr>
          <w:rFonts w:ascii="Garamond" w:hAnsi="Garamond"/>
          <w:color w:val="000000" w:themeColor="text1"/>
          <w:sz w:val="24"/>
          <w:szCs w:val="24"/>
        </w:rPr>
        <w:t xml:space="preserve"> and Time-Anchor Map</w:t>
      </w:r>
    </w:p>
    <w:p w14:paraId="7EAFEC74" w14:textId="77777777" w:rsidR="00E3316C" w:rsidRPr="00102618" w:rsidRDefault="00000000">
      <w:pPr>
        <w:spacing w:after="120"/>
        <w:rPr>
          <w:rFonts w:ascii="Garamond" w:hAnsi="Garamond"/>
          <w:sz w:val="24"/>
          <w:szCs w:val="24"/>
        </w:rPr>
      </w:pPr>
      <w:r w:rsidRPr="00102618">
        <w:rPr>
          <w:rFonts w:ascii="Garamond" w:hAnsi="Garamond"/>
          <w:b/>
          <w:bCs/>
          <w:sz w:val="24"/>
          <w:szCs w:val="24"/>
        </w:rPr>
        <w:t xml:space="preserve">Purpose.  </w:t>
      </w:r>
      <w:r w:rsidRPr="00102618">
        <w:rPr>
          <w:rFonts w:ascii="Garamond" w:hAnsi="Garamond"/>
          <w:sz w:val="24"/>
          <w:szCs w:val="24"/>
        </w:rPr>
        <w:t>To help organize events without forcing exact dates.</w:t>
      </w:r>
    </w:p>
    <w:p w14:paraId="3E0F2889" w14:textId="77777777" w:rsidR="00E3316C" w:rsidRPr="00102618" w:rsidRDefault="00000000">
      <w:pPr>
        <w:spacing w:after="120"/>
        <w:rPr>
          <w:rFonts w:ascii="Garamond" w:hAnsi="Garamond"/>
          <w:sz w:val="24"/>
          <w:szCs w:val="24"/>
        </w:rPr>
      </w:pPr>
      <w:r w:rsidRPr="00102618">
        <w:rPr>
          <w:rFonts w:ascii="Garamond" w:hAnsi="Garamond"/>
          <w:b/>
          <w:bCs/>
          <w:sz w:val="24"/>
          <w:szCs w:val="24"/>
        </w:rPr>
        <w:t xml:space="preserve">Instructions to practitioner.  </w:t>
      </w:r>
      <w:r w:rsidRPr="00102618">
        <w:rPr>
          <w:rFonts w:ascii="Garamond" w:hAnsi="Garamond"/>
          <w:sz w:val="24"/>
          <w:szCs w:val="24"/>
        </w:rPr>
        <w:t>If the client does not know a precise date, say: "You do not need the exact date. We can use age, season, school year, weather, holiday, election, or another life event."</w:t>
      </w:r>
    </w:p>
    <w:p w14:paraId="6692D620" w14:textId="77777777" w:rsidR="00E3316C" w:rsidRPr="00102618" w:rsidRDefault="00E3316C">
      <w:pPr>
        <w:spacing w:before="60" w:after="60"/>
        <w:rPr>
          <w:rFonts w:ascii="Garamond" w:hAnsi="Garamond"/>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40"/>
        <w:gridCol w:w="3120"/>
      </w:tblGrid>
      <w:tr w:rsidR="00E3316C" w:rsidRPr="00102618" w14:paraId="1FA036EE" w14:textId="77777777">
        <w:trPr>
          <w:tblHeader/>
        </w:trPr>
        <w:tc>
          <w:tcPr>
            <w:tcW w:w="624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2A2D78F8" w14:textId="77777777" w:rsidR="00E3316C" w:rsidRPr="00102618" w:rsidRDefault="00000000">
            <w:pPr>
              <w:rPr>
                <w:rFonts w:ascii="Garamond" w:hAnsi="Garamond"/>
                <w:sz w:val="24"/>
                <w:szCs w:val="24"/>
              </w:rPr>
            </w:pPr>
            <w:r w:rsidRPr="00102618">
              <w:rPr>
                <w:rFonts w:ascii="Garamond" w:hAnsi="Garamond"/>
                <w:b/>
                <w:bCs/>
                <w:color w:val="FFFFFF"/>
                <w:sz w:val="24"/>
                <w:szCs w:val="24"/>
              </w:rPr>
              <w:t>Anchor Type</w:t>
            </w:r>
          </w:p>
        </w:tc>
        <w:tc>
          <w:tcPr>
            <w:tcW w:w="31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2D8698CA" w14:textId="77777777" w:rsidR="00E3316C" w:rsidRPr="00102618" w:rsidRDefault="00000000">
            <w:pPr>
              <w:rPr>
                <w:rFonts w:ascii="Garamond" w:hAnsi="Garamond"/>
                <w:sz w:val="24"/>
                <w:szCs w:val="24"/>
              </w:rPr>
            </w:pPr>
            <w:r w:rsidRPr="00102618">
              <w:rPr>
                <w:rFonts w:ascii="Garamond" w:hAnsi="Garamond"/>
                <w:b/>
                <w:bCs/>
                <w:color w:val="FFFFFF"/>
                <w:sz w:val="24"/>
                <w:szCs w:val="24"/>
              </w:rPr>
              <w:t>Client Response</w:t>
            </w:r>
          </w:p>
        </w:tc>
      </w:tr>
      <w:tr w:rsidR="00E3316C" w:rsidRPr="00102618" w14:paraId="3AF37052" w14:textId="77777777">
        <w:tc>
          <w:tcPr>
            <w:tcW w:w="6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60680F1E" w14:textId="77777777" w:rsidR="00E3316C" w:rsidRPr="00102618" w:rsidRDefault="00000000">
            <w:pPr>
              <w:rPr>
                <w:rFonts w:ascii="Garamond" w:hAnsi="Garamond"/>
                <w:sz w:val="24"/>
                <w:szCs w:val="24"/>
              </w:rPr>
            </w:pPr>
            <w:r w:rsidRPr="00102618">
              <w:rPr>
                <w:rFonts w:ascii="Garamond" w:hAnsi="Garamond"/>
                <w:sz w:val="24"/>
                <w:szCs w:val="24"/>
              </w:rPr>
              <w:t>How old were you when this happened?</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1318D6C1" w14:textId="77777777" w:rsidR="00E3316C" w:rsidRPr="00102618" w:rsidRDefault="00E3316C">
            <w:pPr>
              <w:rPr>
                <w:rFonts w:ascii="Garamond" w:hAnsi="Garamond"/>
                <w:sz w:val="24"/>
                <w:szCs w:val="24"/>
              </w:rPr>
            </w:pPr>
          </w:p>
        </w:tc>
      </w:tr>
      <w:tr w:rsidR="00E3316C" w:rsidRPr="00102618" w14:paraId="0E075A3F" w14:textId="77777777">
        <w:tc>
          <w:tcPr>
            <w:tcW w:w="62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2828DB33" w14:textId="77777777" w:rsidR="00E3316C" w:rsidRPr="00102618" w:rsidRDefault="00000000">
            <w:pPr>
              <w:rPr>
                <w:rFonts w:ascii="Garamond" w:hAnsi="Garamond"/>
                <w:sz w:val="24"/>
                <w:szCs w:val="24"/>
              </w:rPr>
            </w:pPr>
            <w:r w:rsidRPr="00102618">
              <w:rPr>
                <w:rFonts w:ascii="Garamond" w:hAnsi="Garamond"/>
                <w:sz w:val="24"/>
                <w:szCs w:val="24"/>
              </w:rPr>
              <w:t>Were you in school, working, or at home then?</w:t>
            </w:r>
          </w:p>
        </w:tc>
        <w:tc>
          <w:tcPr>
            <w:tcW w:w="31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426DEC19" w14:textId="77777777" w:rsidR="00E3316C" w:rsidRPr="00102618" w:rsidRDefault="00E3316C">
            <w:pPr>
              <w:rPr>
                <w:rFonts w:ascii="Garamond" w:hAnsi="Garamond"/>
                <w:sz w:val="24"/>
                <w:szCs w:val="24"/>
              </w:rPr>
            </w:pPr>
          </w:p>
        </w:tc>
      </w:tr>
      <w:tr w:rsidR="00E3316C" w:rsidRPr="00102618" w14:paraId="4F58829B" w14:textId="77777777">
        <w:tc>
          <w:tcPr>
            <w:tcW w:w="6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4B1DCA39" w14:textId="77777777" w:rsidR="00E3316C" w:rsidRPr="00102618" w:rsidRDefault="00000000">
            <w:pPr>
              <w:rPr>
                <w:rFonts w:ascii="Garamond" w:hAnsi="Garamond"/>
                <w:sz w:val="24"/>
                <w:szCs w:val="24"/>
              </w:rPr>
            </w:pPr>
            <w:r w:rsidRPr="00102618">
              <w:rPr>
                <w:rFonts w:ascii="Garamond" w:hAnsi="Garamond"/>
                <w:sz w:val="24"/>
                <w:szCs w:val="24"/>
              </w:rPr>
              <w:t>What season was it?</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0E3D468" w14:textId="77777777" w:rsidR="00E3316C" w:rsidRPr="00102618" w:rsidRDefault="00E3316C">
            <w:pPr>
              <w:rPr>
                <w:rFonts w:ascii="Garamond" w:hAnsi="Garamond"/>
                <w:sz w:val="24"/>
                <w:szCs w:val="24"/>
              </w:rPr>
            </w:pPr>
          </w:p>
        </w:tc>
      </w:tr>
      <w:tr w:rsidR="00E3316C" w:rsidRPr="00102618" w14:paraId="50E75E42" w14:textId="77777777">
        <w:tc>
          <w:tcPr>
            <w:tcW w:w="62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11975292" w14:textId="77777777" w:rsidR="00E3316C" w:rsidRPr="00102618" w:rsidRDefault="00000000">
            <w:pPr>
              <w:rPr>
                <w:rFonts w:ascii="Garamond" w:hAnsi="Garamond"/>
                <w:sz w:val="24"/>
                <w:szCs w:val="24"/>
              </w:rPr>
            </w:pPr>
            <w:r w:rsidRPr="00102618">
              <w:rPr>
                <w:rFonts w:ascii="Garamond" w:hAnsi="Garamond"/>
                <w:sz w:val="24"/>
                <w:szCs w:val="24"/>
              </w:rPr>
              <w:lastRenderedPageBreak/>
              <w:t xml:space="preserve">Was it </w:t>
            </w:r>
            <w:proofErr w:type="gramStart"/>
            <w:r w:rsidRPr="00102618">
              <w:rPr>
                <w:rFonts w:ascii="Garamond" w:hAnsi="Garamond"/>
                <w:sz w:val="24"/>
                <w:szCs w:val="24"/>
              </w:rPr>
              <w:t>near</w:t>
            </w:r>
            <w:proofErr w:type="gramEnd"/>
            <w:r w:rsidRPr="00102618">
              <w:rPr>
                <w:rFonts w:ascii="Garamond" w:hAnsi="Garamond"/>
                <w:sz w:val="24"/>
                <w:szCs w:val="24"/>
              </w:rPr>
              <w:t xml:space="preserve"> a holiday, election, harvest, protest, conflict, or public event?</w:t>
            </w:r>
          </w:p>
        </w:tc>
        <w:tc>
          <w:tcPr>
            <w:tcW w:w="31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754771D8" w14:textId="77777777" w:rsidR="00E3316C" w:rsidRPr="00102618" w:rsidRDefault="00E3316C">
            <w:pPr>
              <w:rPr>
                <w:rFonts w:ascii="Garamond" w:hAnsi="Garamond"/>
                <w:sz w:val="24"/>
                <w:szCs w:val="24"/>
              </w:rPr>
            </w:pPr>
          </w:p>
        </w:tc>
      </w:tr>
      <w:tr w:rsidR="00E3316C" w:rsidRPr="00102618" w14:paraId="3738A1AA" w14:textId="77777777">
        <w:tc>
          <w:tcPr>
            <w:tcW w:w="6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717EE4E" w14:textId="77777777" w:rsidR="00E3316C" w:rsidRPr="00102618" w:rsidRDefault="00000000">
            <w:pPr>
              <w:rPr>
                <w:rFonts w:ascii="Garamond" w:hAnsi="Garamond"/>
                <w:sz w:val="24"/>
                <w:szCs w:val="24"/>
              </w:rPr>
            </w:pPr>
            <w:r w:rsidRPr="00102618">
              <w:rPr>
                <w:rFonts w:ascii="Garamond" w:hAnsi="Garamond"/>
                <w:sz w:val="24"/>
                <w:szCs w:val="24"/>
              </w:rPr>
              <w:t>What was the weather like?</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4C1E087E" w14:textId="77777777" w:rsidR="00E3316C" w:rsidRPr="00102618" w:rsidRDefault="00E3316C">
            <w:pPr>
              <w:rPr>
                <w:rFonts w:ascii="Garamond" w:hAnsi="Garamond"/>
                <w:sz w:val="24"/>
                <w:szCs w:val="24"/>
              </w:rPr>
            </w:pPr>
          </w:p>
        </w:tc>
      </w:tr>
      <w:tr w:rsidR="00E3316C" w:rsidRPr="00102618" w14:paraId="0AC1F066" w14:textId="77777777">
        <w:tc>
          <w:tcPr>
            <w:tcW w:w="62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129ED313" w14:textId="77777777" w:rsidR="00E3316C" w:rsidRPr="00102618" w:rsidRDefault="00000000">
            <w:pPr>
              <w:rPr>
                <w:rFonts w:ascii="Garamond" w:hAnsi="Garamond"/>
                <w:sz w:val="24"/>
                <w:szCs w:val="24"/>
              </w:rPr>
            </w:pPr>
            <w:r w:rsidRPr="00102618">
              <w:rPr>
                <w:rFonts w:ascii="Garamond" w:hAnsi="Garamond"/>
                <w:sz w:val="24"/>
                <w:szCs w:val="24"/>
              </w:rPr>
              <w:t>Who was living with you at that time?</w:t>
            </w:r>
          </w:p>
        </w:tc>
        <w:tc>
          <w:tcPr>
            <w:tcW w:w="31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72142AFC" w14:textId="77777777" w:rsidR="00E3316C" w:rsidRPr="00102618" w:rsidRDefault="00E3316C">
            <w:pPr>
              <w:rPr>
                <w:rFonts w:ascii="Garamond" w:hAnsi="Garamond"/>
                <w:sz w:val="24"/>
                <w:szCs w:val="24"/>
              </w:rPr>
            </w:pPr>
          </w:p>
        </w:tc>
      </w:tr>
      <w:tr w:rsidR="00E3316C" w:rsidRPr="00102618" w14:paraId="31C00E90" w14:textId="77777777">
        <w:tc>
          <w:tcPr>
            <w:tcW w:w="6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4D302D47" w14:textId="77777777" w:rsidR="00E3316C" w:rsidRPr="00102618" w:rsidRDefault="00000000">
            <w:pPr>
              <w:rPr>
                <w:rFonts w:ascii="Garamond" w:hAnsi="Garamond"/>
                <w:sz w:val="24"/>
                <w:szCs w:val="24"/>
              </w:rPr>
            </w:pPr>
            <w:r w:rsidRPr="00102618">
              <w:rPr>
                <w:rFonts w:ascii="Garamond" w:hAnsi="Garamond"/>
                <w:sz w:val="24"/>
                <w:szCs w:val="24"/>
              </w:rPr>
              <w:t>What language were you speaking then?</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4C45EDC9" w14:textId="77777777" w:rsidR="00E3316C" w:rsidRPr="00102618" w:rsidRDefault="00E3316C">
            <w:pPr>
              <w:rPr>
                <w:rFonts w:ascii="Garamond" w:hAnsi="Garamond"/>
                <w:sz w:val="24"/>
                <w:szCs w:val="24"/>
              </w:rPr>
            </w:pPr>
          </w:p>
        </w:tc>
      </w:tr>
      <w:tr w:rsidR="00E3316C" w:rsidRPr="00102618" w14:paraId="5417ABF9" w14:textId="77777777">
        <w:tc>
          <w:tcPr>
            <w:tcW w:w="62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2FFB7C49" w14:textId="77777777" w:rsidR="00E3316C" w:rsidRPr="00102618" w:rsidRDefault="00000000">
            <w:pPr>
              <w:rPr>
                <w:rFonts w:ascii="Garamond" w:hAnsi="Garamond"/>
                <w:sz w:val="24"/>
                <w:szCs w:val="24"/>
              </w:rPr>
            </w:pPr>
            <w:r w:rsidRPr="00102618">
              <w:rPr>
                <w:rFonts w:ascii="Garamond" w:hAnsi="Garamond"/>
                <w:sz w:val="24"/>
                <w:szCs w:val="24"/>
              </w:rPr>
              <w:t>What happened just before this event?</w:t>
            </w:r>
          </w:p>
        </w:tc>
        <w:tc>
          <w:tcPr>
            <w:tcW w:w="31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5DDBCB6B" w14:textId="77777777" w:rsidR="00E3316C" w:rsidRPr="00102618" w:rsidRDefault="00E3316C">
            <w:pPr>
              <w:rPr>
                <w:rFonts w:ascii="Garamond" w:hAnsi="Garamond"/>
                <w:sz w:val="24"/>
                <w:szCs w:val="24"/>
              </w:rPr>
            </w:pPr>
          </w:p>
        </w:tc>
      </w:tr>
      <w:tr w:rsidR="00E3316C" w:rsidRPr="00102618" w14:paraId="05D27FF0" w14:textId="77777777">
        <w:tc>
          <w:tcPr>
            <w:tcW w:w="6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B2D6313" w14:textId="77777777" w:rsidR="00E3316C" w:rsidRPr="00102618" w:rsidRDefault="00000000">
            <w:pPr>
              <w:rPr>
                <w:rFonts w:ascii="Garamond" w:hAnsi="Garamond"/>
                <w:sz w:val="24"/>
                <w:szCs w:val="24"/>
              </w:rPr>
            </w:pPr>
            <w:r w:rsidRPr="00102618">
              <w:rPr>
                <w:rFonts w:ascii="Garamond" w:hAnsi="Garamond"/>
                <w:sz w:val="24"/>
                <w:szCs w:val="24"/>
              </w:rPr>
              <w:t>What happened soon after it?</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073E8DCC" w14:textId="77777777" w:rsidR="00E3316C" w:rsidRPr="00102618" w:rsidRDefault="00E3316C">
            <w:pPr>
              <w:rPr>
                <w:rFonts w:ascii="Garamond" w:hAnsi="Garamond"/>
                <w:sz w:val="24"/>
                <w:szCs w:val="24"/>
              </w:rPr>
            </w:pPr>
          </w:p>
        </w:tc>
      </w:tr>
    </w:tbl>
    <w:p w14:paraId="7782CFD5" w14:textId="77777777" w:rsidR="00E3316C" w:rsidRPr="00102618" w:rsidRDefault="00E3316C">
      <w:pPr>
        <w:spacing w:before="60" w:after="60"/>
        <w:rPr>
          <w:rFonts w:ascii="Garamond" w:hAnsi="Garamond"/>
          <w:sz w:val="24"/>
          <w:szCs w:val="24"/>
        </w:rPr>
      </w:pPr>
    </w:p>
    <w:p w14:paraId="706C20AD" w14:textId="77777777" w:rsidR="00E3316C" w:rsidRPr="00B72171" w:rsidRDefault="00000000">
      <w:pPr>
        <w:pStyle w:val="Heading3"/>
        <w:rPr>
          <w:rFonts w:ascii="Garamond" w:hAnsi="Garamond"/>
          <w:color w:val="000000" w:themeColor="text1"/>
          <w:sz w:val="24"/>
          <w:szCs w:val="24"/>
        </w:rPr>
      </w:pPr>
      <w:proofErr w:type="gramStart"/>
      <w:r w:rsidRPr="00B72171">
        <w:rPr>
          <w:rFonts w:ascii="Garamond" w:hAnsi="Garamond"/>
          <w:color w:val="000000" w:themeColor="text1"/>
          <w:sz w:val="24"/>
          <w:szCs w:val="24"/>
        </w:rPr>
        <w:t>G.2  Before</w:t>
      </w:r>
      <w:proofErr w:type="gramEnd"/>
      <w:r w:rsidRPr="00B72171">
        <w:rPr>
          <w:rFonts w:ascii="Garamond" w:hAnsi="Garamond"/>
          <w:color w:val="000000" w:themeColor="text1"/>
          <w:sz w:val="24"/>
          <w:szCs w:val="24"/>
        </w:rPr>
        <w:t xml:space="preserve"> / During / After Storyboard</w:t>
      </w:r>
    </w:p>
    <w:p w14:paraId="7F2E8840" w14:textId="77777777" w:rsidR="00E3316C" w:rsidRPr="00102618" w:rsidRDefault="00000000">
      <w:pPr>
        <w:spacing w:after="120"/>
        <w:rPr>
          <w:rFonts w:ascii="Garamond" w:hAnsi="Garamond"/>
          <w:sz w:val="24"/>
          <w:szCs w:val="24"/>
        </w:rPr>
      </w:pPr>
      <w:r w:rsidRPr="00102618">
        <w:rPr>
          <w:rFonts w:ascii="Garamond" w:hAnsi="Garamond"/>
          <w:b/>
          <w:bCs/>
          <w:sz w:val="24"/>
          <w:szCs w:val="24"/>
        </w:rPr>
        <w:t xml:space="preserve">Purpose.  </w:t>
      </w:r>
      <w:r w:rsidRPr="00102618">
        <w:rPr>
          <w:rFonts w:ascii="Garamond" w:hAnsi="Garamond"/>
          <w:sz w:val="24"/>
          <w:szCs w:val="24"/>
        </w:rPr>
        <w:t>To help clients who remember in scenes or episodes rather than long verbal narratives.</w:t>
      </w:r>
    </w:p>
    <w:p w14:paraId="372E05BF" w14:textId="77777777" w:rsidR="00E3316C" w:rsidRPr="00102618" w:rsidRDefault="00000000">
      <w:pPr>
        <w:spacing w:after="120"/>
        <w:rPr>
          <w:rFonts w:ascii="Garamond" w:hAnsi="Garamond"/>
          <w:sz w:val="24"/>
          <w:szCs w:val="24"/>
        </w:rPr>
      </w:pPr>
      <w:r w:rsidRPr="00102618">
        <w:rPr>
          <w:rFonts w:ascii="Garamond" w:hAnsi="Garamond"/>
          <w:b/>
          <w:bCs/>
          <w:sz w:val="24"/>
          <w:szCs w:val="24"/>
        </w:rPr>
        <w:t xml:space="preserve">Instructions to practitioner.  </w:t>
      </w:r>
      <w:r w:rsidRPr="00102618">
        <w:rPr>
          <w:rFonts w:ascii="Garamond" w:hAnsi="Garamond"/>
          <w:sz w:val="24"/>
          <w:szCs w:val="24"/>
        </w:rPr>
        <w:t>You may say: "We can break this into three parts: before it happened, while it was happening, and what happened after."</w:t>
      </w:r>
    </w:p>
    <w:p w14:paraId="7B9F4C05" w14:textId="77777777" w:rsidR="00E3316C" w:rsidRPr="00102618" w:rsidRDefault="00E3316C">
      <w:pPr>
        <w:spacing w:before="60" w:after="60"/>
        <w:rPr>
          <w:rFonts w:ascii="Garamond" w:hAnsi="Garamond"/>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E3316C" w:rsidRPr="00102618" w14:paraId="17916EE8" w14:textId="77777777">
        <w:trPr>
          <w:tblHeader/>
        </w:trPr>
        <w:tc>
          <w:tcPr>
            <w:tcW w:w="31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293461A4" w14:textId="77777777" w:rsidR="00E3316C" w:rsidRPr="00102618" w:rsidRDefault="00000000">
            <w:pPr>
              <w:rPr>
                <w:rFonts w:ascii="Garamond" w:hAnsi="Garamond"/>
                <w:sz w:val="24"/>
                <w:szCs w:val="24"/>
              </w:rPr>
            </w:pPr>
            <w:r w:rsidRPr="00102618">
              <w:rPr>
                <w:rFonts w:ascii="Garamond" w:hAnsi="Garamond"/>
                <w:b/>
                <w:bCs/>
                <w:color w:val="FFFFFF"/>
                <w:sz w:val="24"/>
                <w:szCs w:val="24"/>
              </w:rPr>
              <w:t>BEFORE</w:t>
            </w:r>
          </w:p>
        </w:tc>
        <w:tc>
          <w:tcPr>
            <w:tcW w:w="31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599293CA" w14:textId="77777777" w:rsidR="00E3316C" w:rsidRPr="00102618" w:rsidRDefault="00000000">
            <w:pPr>
              <w:rPr>
                <w:rFonts w:ascii="Garamond" w:hAnsi="Garamond"/>
                <w:sz w:val="24"/>
                <w:szCs w:val="24"/>
              </w:rPr>
            </w:pPr>
            <w:r w:rsidRPr="00102618">
              <w:rPr>
                <w:rFonts w:ascii="Garamond" w:hAnsi="Garamond"/>
                <w:b/>
                <w:bCs/>
                <w:color w:val="FFFFFF"/>
                <w:sz w:val="24"/>
                <w:szCs w:val="24"/>
              </w:rPr>
              <w:t>DURING</w:t>
            </w:r>
          </w:p>
        </w:tc>
        <w:tc>
          <w:tcPr>
            <w:tcW w:w="31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673C8399" w14:textId="77777777" w:rsidR="00E3316C" w:rsidRPr="00102618" w:rsidRDefault="00000000">
            <w:pPr>
              <w:rPr>
                <w:rFonts w:ascii="Garamond" w:hAnsi="Garamond"/>
                <w:sz w:val="24"/>
                <w:szCs w:val="24"/>
              </w:rPr>
            </w:pPr>
            <w:r w:rsidRPr="00102618">
              <w:rPr>
                <w:rFonts w:ascii="Garamond" w:hAnsi="Garamond"/>
                <w:b/>
                <w:bCs/>
                <w:color w:val="FFFFFF"/>
                <w:sz w:val="24"/>
                <w:szCs w:val="24"/>
              </w:rPr>
              <w:t>AFTER</w:t>
            </w:r>
          </w:p>
        </w:tc>
      </w:tr>
      <w:tr w:rsidR="00E3316C" w:rsidRPr="00102618" w14:paraId="30B8EE0D" w14:textId="77777777">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41588A74" w14:textId="77777777" w:rsidR="00E3316C" w:rsidRPr="00102618" w:rsidRDefault="00000000">
            <w:pPr>
              <w:rPr>
                <w:rFonts w:ascii="Garamond" w:hAnsi="Garamond"/>
                <w:sz w:val="24"/>
                <w:szCs w:val="24"/>
              </w:rPr>
            </w:pPr>
            <w:r w:rsidRPr="00102618">
              <w:rPr>
                <w:rFonts w:ascii="Garamond" w:hAnsi="Garamond"/>
                <w:sz w:val="24"/>
                <w:szCs w:val="24"/>
              </w:rPr>
              <w:t>Where were you?</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7CC46B9D" w14:textId="77777777" w:rsidR="00E3316C" w:rsidRPr="00102618" w:rsidRDefault="00000000">
            <w:pPr>
              <w:rPr>
                <w:rFonts w:ascii="Garamond" w:hAnsi="Garamond"/>
                <w:sz w:val="24"/>
                <w:szCs w:val="24"/>
              </w:rPr>
            </w:pPr>
            <w:r w:rsidRPr="00102618">
              <w:rPr>
                <w:rFonts w:ascii="Garamond" w:hAnsi="Garamond"/>
                <w:sz w:val="24"/>
                <w:szCs w:val="24"/>
              </w:rPr>
              <w:t>What happened first?</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16616052" w14:textId="77777777" w:rsidR="00E3316C" w:rsidRPr="00102618" w:rsidRDefault="00000000">
            <w:pPr>
              <w:rPr>
                <w:rFonts w:ascii="Garamond" w:hAnsi="Garamond"/>
                <w:sz w:val="24"/>
                <w:szCs w:val="24"/>
              </w:rPr>
            </w:pPr>
            <w:r w:rsidRPr="00102618">
              <w:rPr>
                <w:rFonts w:ascii="Garamond" w:hAnsi="Garamond"/>
                <w:sz w:val="24"/>
                <w:szCs w:val="24"/>
              </w:rPr>
              <w:t>What changed after?</w:t>
            </w:r>
          </w:p>
        </w:tc>
      </w:tr>
      <w:tr w:rsidR="00E3316C" w:rsidRPr="00102618" w14:paraId="3F83C1DE" w14:textId="77777777">
        <w:tc>
          <w:tcPr>
            <w:tcW w:w="31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41912E68" w14:textId="77777777" w:rsidR="00E3316C" w:rsidRPr="00102618" w:rsidRDefault="00000000">
            <w:pPr>
              <w:rPr>
                <w:rFonts w:ascii="Garamond" w:hAnsi="Garamond"/>
                <w:sz w:val="24"/>
                <w:szCs w:val="24"/>
              </w:rPr>
            </w:pPr>
            <w:r w:rsidRPr="00102618">
              <w:rPr>
                <w:rFonts w:ascii="Garamond" w:hAnsi="Garamond"/>
                <w:sz w:val="24"/>
                <w:szCs w:val="24"/>
              </w:rPr>
              <w:t>Who was with you?</w:t>
            </w:r>
          </w:p>
        </w:tc>
        <w:tc>
          <w:tcPr>
            <w:tcW w:w="31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79AE22C5" w14:textId="77777777" w:rsidR="00E3316C" w:rsidRPr="00102618" w:rsidRDefault="00000000">
            <w:pPr>
              <w:rPr>
                <w:rFonts w:ascii="Garamond" w:hAnsi="Garamond"/>
                <w:sz w:val="24"/>
                <w:szCs w:val="24"/>
              </w:rPr>
            </w:pPr>
            <w:r w:rsidRPr="00102618">
              <w:rPr>
                <w:rFonts w:ascii="Garamond" w:hAnsi="Garamond"/>
                <w:sz w:val="24"/>
                <w:szCs w:val="24"/>
              </w:rPr>
              <w:t>Who was there?</w:t>
            </w:r>
          </w:p>
        </w:tc>
        <w:tc>
          <w:tcPr>
            <w:tcW w:w="31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2878DB5A" w14:textId="77777777" w:rsidR="00E3316C" w:rsidRPr="00102618" w:rsidRDefault="00000000">
            <w:pPr>
              <w:rPr>
                <w:rFonts w:ascii="Garamond" w:hAnsi="Garamond"/>
                <w:sz w:val="24"/>
                <w:szCs w:val="24"/>
              </w:rPr>
            </w:pPr>
            <w:r w:rsidRPr="00102618">
              <w:rPr>
                <w:rFonts w:ascii="Garamond" w:hAnsi="Garamond"/>
                <w:sz w:val="24"/>
                <w:szCs w:val="24"/>
              </w:rPr>
              <w:t>Who knew?</w:t>
            </w:r>
          </w:p>
        </w:tc>
      </w:tr>
      <w:tr w:rsidR="00E3316C" w:rsidRPr="00102618" w14:paraId="06EC5EE8" w14:textId="77777777">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3CB14800" w14:textId="77777777" w:rsidR="00E3316C" w:rsidRPr="00102618" w:rsidRDefault="00000000">
            <w:pPr>
              <w:rPr>
                <w:rFonts w:ascii="Garamond" w:hAnsi="Garamond"/>
                <w:sz w:val="24"/>
                <w:szCs w:val="24"/>
              </w:rPr>
            </w:pPr>
            <w:r w:rsidRPr="00102618">
              <w:rPr>
                <w:rFonts w:ascii="Garamond" w:hAnsi="Garamond"/>
                <w:sz w:val="24"/>
                <w:szCs w:val="24"/>
              </w:rPr>
              <w:t>What was daily life like?</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7824067B" w14:textId="77777777" w:rsidR="00E3316C" w:rsidRPr="00102618" w:rsidRDefault="00000000">
            <w:pPr>
              <w:rPr>
                <w:rFonts w:ascii="Garamond" w:hAnsi="Garamond"/>
                <w:sz w:val="24"/>
                <w:szCs w:val="24"/>
              </w:rPr>
            </w:pPr>
            <w:r w:rsidRPr="00102618">
              <w:rPr>
                <w:rFonts w:ascii="Garamond" w:hAnsi="Garamond"/>
                <w:sz w:val="24"/>
                <w:szCs w:val="24"/>
              </w:rPr>
              <w:t>What was said?</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19199EC3" w14:textId="77777777" w:rsidR="00E3316C" w:rsidRPr="00102618" w:rsidRDefault="00000000">
            <w:pPr>
              <w:rPr>
                <w:rFonts w:ascii="Garamond" w:hAnsi="Garamond"/>
                <w:sz w:val="24"/>
                <w:szCs w:val="24"/>
              </w:rPr>
            </w:pPr>
            <w:r w:rsidRPr="00102618">
              <w:rPr>
                <w:rFonts w:ascii="Garamond" w:hAnsi="Garamond"/>
                <w:sz w:val="24"/>
                <w:szCs w:val="24"/>
              </w:rPr>
              <w:t>What became harder?</w:t>
            </w:r>
          </w:p>
        </w:tc>
      </w:tr>
      <w:tr w:rsidR="00E3316C" w:rsidRPr="00102618" w14:paraId="408F6FD1" w14:textId="77777777">
        <w:tc>
          <w:tcPr>
            <w:tcW w:w="31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3501A95F" w14:textId="77777777" w:rsidR="00E3316C" w:rsidRPr="00102618" w:rsidRDefault="00000000">
            <w:pPr>
              <w:rPr>
                <w:rFonts w:ascii="Garamond" w:hAnsi="Garamond"/>
                <w:sz w:val="24"/>
                <w:szCs w:val="24"/>
              </w:rPr>
            </w:pPr>
            <w:r w:rsidRPr="00102618">
              <w:rPr>
                <w:rFonts w:ascii="Garamond" w:hAnsi="Garamond"/>
                <w:sz w:val="24"/>
                <w:szCs w:val="24"/>
              </w:rPr>
              <w:t>What felt normal then?</w:t>
            </w:r>
          </w:p>
        </w:tc>
        <w:tc>
          <w:tcPr>
            <w:tcW w:w="31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1BCB791B" w14:textId="77777777" w:rsidR="00E3316C" w:rsidRPr="00102618" w:rsidRDefault="00000000">
            <w:pPr>
              <w:rPr>
                <w:rFonts w:ascii="Garamond" w:hAnsi="Garamond"/>
                <w:sz w:val="24"/>
                <w:szCs w:val="24"/>
              </w:rPr>
            </w:pPr>
            <w:r w:rsidRPr="00102618">
              <w:rPr>
                <w:rFonts w:ascii="Garamond" w:hAnsi="Garamond"/>
                <w:sz w:val="24"/>
                <w:szCs w:val="24"/>
              </w:rPr>
              <w:t>What did you think was happening?</w:t>
            </w:r>
          </w:p>
        </w:tc>
        <w:tc>
          <w:tcPr>
            <w:tcW w:w="31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67F1C13F" w14:textId="77777777" w:rsidR="00E3316C" w:rsidRPr="00102618" w:rsidRDefault="00000000">
            <w:pPr>
              <w:rPr>
                <w:rFonts w:ascii="Garamond" w:hAnsi="Garamond"/>
                <w:sz w:val="24"/>
                <w:szCs w:val="24"/>
              </w:rPr>
            </w:pPr>
            <w:r w:rsidRPr="00102618">
              <w:rPr>
                <w:rFonts w:ascii="Garamond" w:hAnsi="Garamond"/>
                <w:sz w:val="24"/>
                <w:szCs w:val="24"/>
              </w:rPr>
              <w:t>Did you try to seek help?</w:t>
            </w:r>
          </w:p>
        </w:tc>
      </w:tr>
      <w:tr w:rsidR="00E3316C" w:rsidRPr="00102618" w14:paraId="183EAF67" w14:textId="77777777">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9C18E46" w14:textId="77777777" w:rsidR="00E3316C" w:rsidRPr="00102618" w:rsidRDefault="00000000">
            <w:pPr>
              <w:rPr>
                <w:rFonts w:ascii="Garamond" w:hAnsi="Garamond"/>
                <w:sz w:val="24"/>
                <w:szCs w:val="24"/>
              </w:rPr>
            </w:pPr>
            <w:r w:rsidRPr="00102618">
              <w:rPr>
                <w:rFonts w:ascii="Garamond" w:hAnsi="Garamond"/>
                <w:sz w:val="24"/>
                <w:szCs w:val="24"/>
              </w:rPr>
              <w:t>What made the day different?</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717BFC1A" w14:textId="77777777" w:rsidR="00E3316C" w:rsidRPr="00102618" w:rsidRDefault="00000000">
            <w:pPr>
              <w:rPr>
                <w:rFonts w:ascii="Garamond" w:hAnsi="Garamond"/>
                <w:sz w:val="24"/>
                <w:szCs w:val="24"/>
              </w:rPr>
            </w:pPr>
            <w:r w:rsidRPr="00102618">
              <w:rPr>
                <w:rFonts w:ascii="Garamond" w:hAnsi="Garamond"/>
                <w:sz w:val="24"/>
                <w:szCs w:val="24"/>
              </w:rPr>
              <w:t>What do you remember most clearly?</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3C836822" w14:textId="77777777" w:rsidR="00E3316C" w:rsidRPr="00102618" w:rsidRDefault="00000000">
            <w:pPr>
              <w:rPr>
                <w:rFonts w:ascii="Garamond" w:hAnsi="Garamond"/>
                <w:sz w:val="24"/>
                <w:szCs w:val="24"/>
              </w:rPr>
            </w:pPr>
            <w:r w:rsidRPr="00102618">
              <w:rPr>
                <w:rFonts w:ascii="Garamond" w:hAnsi="Garamond"/>
                <w:sz w:val="24"/>
                <w:szCs w:val="24"/>
              </w:rPr>
              <w:t>What made it hard to talk about later?</w:t>
            </w:r>
          </w:p>
        </w:tc>
      </w:tr>
    </w:tbl>
    <w:p w14:paraId="37DBCE19" w14:textId="77777777" w:rsidR="00E3316C" w:rsidRPr="00102618" w:rsidRDefault="00E3316C">
      <w:pPr>
        <w:spacing w:before="60" w:after="60"/>
        <w:rPr>
          <w:rFonts w:ascii="Garamond" w:hAnsi="Garamond"/>
          <w:sz w:val="24"/>
          <w:szCs w:val="24"/>
        </w:rPr>
      </w:pPr>
    </w:p>
    <w:p w14:paraId="4CD1DF11" w14:textId="77777777" w:rsidR="00102618" w:rsidRDefault="00102618">
      <w:pPr>
        <w:pStyle w:val="Heading3"/>
        <w:rPr>
          <w:rFonts w:ascii="Garamond" w:hAnsi="Garamond"/>
          <w:sz w:val="24"/>
          <w:szCs w:val="24"/>
        </w:rPr>
      </w:pPr>
    </w:p>
    <w:p w14:paraId="5B1ADCCC" w14:textId="77777777" w:rsidR="00102618" w:rsidRDefault="00102618">
      <w:pPr>
        <w:pStyle w:val="Heading3"/>
        <w:rPr>
          <w:rFonts w:ascii="Garamond" w:hAnsi="Garamond"/>
          <w:sz w:val="24"/>
          <w:szCs w:val="24"/>
        </w:rPr>
      </w:pPr>
    </w:p>
    <w:p w14:paraId="6F52B4CE" w14:textId="77777777" w:rsidR="00102618" w:rsidRDefault="00102618">
      <w:pPr>
        <w:pStyle w:val="Heading3"/>
        <w:rPr>
          <w:rFonts w:ascii="Garamond" w:hAnsi="Garamond"/>
          <w:sz w:val="24"/>
          <w:szCs w:val="24"/>
        </w:rPr>
      </w:pPr>
    </w:p>
    <w:p w14:paraId="3DC980F4" w14:textId="77777777" w:rsidR="00102618" w:rsidRDefault="00102618">
      <w:pPr>
        <w:pStyle w:val="Heading3"/>
        <w:rPr>
          <w:rFonts w:ascii="Garamond" w:hAnsi="Garamond"/>
          <w:sz w:val="24"/>
          <w:szCs w:val="24"/>
        </w:rPr>
      </w:pPr>
    </w:p>
    <w:p w14:paraId="161A3E2A" w14:textId="77777777" w:rsidR="00102618" w:rsidRDefault="00102618">
      <w:pPr>
        <w:pStyle w:val="Heading3"/>
        <w:rPr>
          <w:rFonts w:ascii="Garamond" w:hAnsi="Garamond"/>
          <w:sz w:val="24"/>
          <w:szCs w:val="24"/>
        </w:rPr>
      </w:pPr>
    </w:p>
    <w:p w14:paraId="3FA26C47" w14:textId="77777777" w:rsidR="00102618" w:rsidRDefault="00102618">
      <w:pPr>
        <w:pStyle w:val="Heading3"/>
        <w:rPr>
          <w:rFonts w:ascii="Garamond" w:hAnsi="Garamond"/>
          <w:sz w:val="24"/>
          <w:szCs w:val="24"/>
        </w:rPr>
      </w:pPr>
    </w:p>
    <w:p w14:paraId="64FF7C31" w14:textId="77777777" w:rsidR="00102618" w:rsidRDefault="00102618">
      <w:pPr>
        <w:pStyle w:val="Heading3"/>
        <w:rPr>
          <w:rFonts w:ascii="Garamond" w:hAnsi="Garamond"/>
          <w:sz w:val="24"/>
          <w:szCs w:val="24"/>
        </w:rPr>
      </w:pPr>
    </w:p>
    <w:p w14:paraId="067E5A18" w14:textId="5520C3AC" w:rsidR="00E3316C" w:rsidRPr="00B72171" w:rsidRDefault="00000000">
      <w:pPr>
        <w:pStyle w:val="Heading3"/>
        <w:rPr>
          <w:rFonts w:ascii="Garamond" w:hAnsi="Garamond"/>
          <w:color w:val="000000" w:themeColor="text1"/>
          <w:sz w:val="24"/>
          <w:szCs w:val="24"/>
        </w:rPr>
      </w:pPr>
      <w:proofErr w:type="gramStart"/>
      <w:r w:rsidRPr="00B72171">
        <w:rPr>
          <w:rFonts w:ascii="Garamond" w:hAnsi="Garamond"/>
          <w:color w:val="000000" w:themeColor="text1"/>
          <w:sz w:val="24"/>
          <w:szCs w:val="24"/>
        </w:rPr>
        <w:lastRenderedPageBreak/>
        <w:t>G.3  People</w:t>
      </w:r>
      <w:proofErr w:type="gramEnd"/>
      <w:r w:rsidRPr="00B72171">
        <w:rPr>
          <w:rFonts w:ascii="Garamond" w:hAnsi="Garamond"/>
          <w:color w:val="000000" w:themeColor="text1"/>
          <w:sz w:val="24"/>
          <w:szCs w:val="24"/>
        </w:rPr>
        <w:t>, Power, and Protection Map</w:t>
      </w:r>
    </w:p>
    <w:p w14:paraId="3853095C" w14:textId="77777777" w:rsidR="00E3316C" w:rsidRPr="00102618" w:rsidRDefault="00000000">
      <w:pPr>
        <w:spacing w:after="120"/>
        <w:rPr>
          <w:rFonts w:ascii="Garamond" w:hAnsi="Garamond"/>
          <w:sz w:val="24"/>
          <w:szCs w:val="24"/>
        </w:rPr>
      </w:pPr>
      <w:r w:rsidRPr="00102618">
        <w:rPr>
          <w:rFonts w:ascii="Garamond" w:hAnsi="Garamond"/>
          <w:b/>
          <w:bCs/>
          <w:sz w:val="24"/>
          <w:szCs w:val="24"/>
        </w:rPr>
        <w:t xml:space="preserve">Purpose.  </w:t>
      </w:r>
      <w:r w:rsidRPr="00102618">
        <w:rPr>
          <w:rFonts w:ascii="Garamond" w:hAnsi="Garamond"/>
          <w:sz w:val="24"/>
          <w:szCs w:val="24"/>
        </w:rPr>
        <w:t>To help identify actors clearly when narratives use vague labels such as "they," "those people," or "everyone knew."</w:t>
      </w:r>
    </w:p>
    <w:p w14:paraId="649AE290" w14:textId="77777777" w:rsidR="00E3316C" w:rsidRPr="00102618" w:rsidRDefault="00000000">
      <w:pPr>
        <w:spacing w:after="120"/>
        <w:rPr>
          <w:rFonts w:ascii="Garamond" w:hAnsi="Garamond"/>
          <w:sz w:val="24"/>
          <w:szCs w:val="24"/>
        </w:rPr>
      </w:pPr>
      <w:r w:rsidRPr="00102618">
        <w:rPr>
          <w:rFonts w:ascii="Garamond" w:hAnsi="Garamond"/>
          <w:b/>
          <w:bCs/>
          <w:sz w:val="24"/>
          <w:szCs w:val="24"/>
        </w:rPr>
        <w:t xml:space="preserve">Instructions to practitioner.  </w:t>
      </w:r>
      <w:r w:rsidRPr="00102618">
        <w:rPr>
          <w:rFonts w:ascii="Garamond" w:hAnsi="Garamond"/>
          <w:sz w:val="24"/>
          <w:szCs w:val="24"/>
        </w:rPr>
        <w:t>You may say: "Let's identify who each person or group was, what power they had, and whether anyone could protect you."</w:t>
      </w:r>
    </w:p>
    <w:p w14:paraId="24F2ADD8" w14:textId="77777777" w:rsidR="00E3316C" w:rsidRPr="00102618" w:rsidRDefault="00E3316C">
      <w:pPr>
        <w:spacing w:before="60" w:after="60"/>
        <w:rPr>
          <w:rFonts w:ascii="Garamond" w:hAnsi="Garamond"/>
          <w:sz w:val="24"/>
          <w:szCs w:val="24"/>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72"/>
        <w:gridCol w:w="1972"/>
        <w:gridCol w:w="1972"/>
        <w:gridCol w:w="1972"/>
        <w:gridCol w:w="1832"/>
      </w:tblGrid>
      <w:tr w:rsidR="00E3316C" w:rsidRPr="00102618" w14:paraId="6A70FBA2" w14:textId="77777777">
        <w:trPr>
          <w:tblHeader/>
        </w:trPr>
        <w:tc>
          <w:tcPr>
            <w:tcW w:w="1972"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0D03F0CB" w14:textId="77777777" w:rsidR="00E3316C" w:rsidRPr="00102618" w:rsidRDefault="00000000">
            <w:pPr>
              <w:rPr>
                <w:rFonts w:ascii="Garamond" w:hAnsi="Garamond"/>
                <w:sz w:val="24"/>
                <w:szCs w:val="24"/>
              </w:rPr>
            </w:pPr>
            <w:r w:rsidRPr="00102618">
              <w:rPr>
                <w:rFonts w:ascii="Garamond" w:hAnsi="Garamond"/>
                <w:b/>
                <w:bCs/>
                <w:color w:val="FFFFFF"/>
                <w:sz w:val="24"/>
                <w:szCs w:val="24"/>
              </w:rPr>
              <w:t>Person / Group</w:t>
            </w:r>
          </w:p>
        </w:tc>
        <w:tc>
          <w:tcPr>
            <w:tcW w:w="1972"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6B394D7F" w14:textId="77777777" w:rsidR="00E3316C" w:rsidRPr="00102618" w:rsidRDefault="00000000">
            <w:pPr>
              <w:rPr>
                <w:rFonts w:ascii="Garamond" w:hAnsi="Garamond"/>
                <w:sz w:val="24"/>
                <w:szCs w:val="24"/>
              </w:rPr>
            </w:pPr>
            <w:r w:rsidRPr="00102618">
              <w:rPr>
                <w:rFonts w:ascii="Garamond" w:hAnsi="Garamond"/>
                <w:b/>
                <w:bCs/>
                <w:color w:val="FFFFFF"/>
                <w:sz w:val="24"/>
                <w:szCs w:val="24"/>
              </w:rPr>
              <w:t>Who Were They?</w:t>
            </w:r>
          </w:p>
        </w:tc>
        <w:tc>
          <w:tcPr>
            <w:tcW w:w="1972"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105EF25B" w14:textId="77777777" w:rsidR="00E3316C" w:rsidRPr="00102618" w:rsidRDefault="00000000">
            <w:pPr>
              <w:rPr>
                <w:rFonts w:ascii="Garamond" w:hAnsi="Garamond"/>
                <w:sz w:val="24"/>
                <w:szCs w:val="24"/>
              </w:rPr>
            </w:pPr>
            <w:r w:rsidRPr="00102618">
              <w:rPr>
                <w:rFonts w:ascii="Garamond" w:hAnsi="Garamond"/>
                <w:b/>
                <w:bCs/>
                <w:color w:val="FFFFFF"/>
                <w:sz w:val="24"/>
                <w:szCs w:val="24"/>
              </w:rPr>
              <w:t>What Power Did They Have?</w:t>
            </w:r>
          </w:p>
        </w:tc>
        <w:tc>
          <w:tcPr>
            <w:tcW w:w="1972"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25845238" w14:textId="77777777" w:rsidR="00E3316C" w:rsidRPr="00102618" w:rsidRDefault="00000000">
            <w:pPr>
              <w:rPr>
                <w:rFonts w:ascii="Garamond" w:hAnsi="Garamond"/>
                <w:sz w:val="24"/>
                <w:szCs w:val="24"/>
              </w:rPr>
            </w:pPr>
            <w:r w:rsidRPr="00102618">
              <w:rPr>
                <w:rFonts w:ascii="Garamond" w:hAnsi="Garamond"/>
                <w:b/>
                <w:bCs/>
                <w:color w:val="FFFFFF"/>
                <w:sz w:val="24"/>
                <w:szCs w:val="24"/>
              </w:rPr>
              <w:t>What Did They Do or Say?</w:t>
            </w:r>
          </w:p>
        </w:tc>
        <w:tc>
          <w:tcPr>
            <w:tcW w:w="1832"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6052FAEB" w14:textId="77777777" w:rsidR="00E3316C" w:rsidRPr="00102618" w:rsidRDefault="00000000">
            <w:pPr>
              <w:rPr>
                <w:rFonts w:ascii="Garamond" w:hAnsi="Garamond"/>
                <w:sz w:val="24"/>
                <w:szCs w:val="24"/>
              </w:rPr>
            </w:pPr>
            <w:r w:rsidRPr="00102618">
              <w:rPr>
                <w:rFonts w:ascii="Garamond" w:hAnsi="Garamond"/>
                <w:b/>
                <w:bCs/>
                <w:color w:val="FFFFFF"/>
                <w:sz w:val="24"/>
                <w:szCs w:val="24"/>
              </w:rPr>
              <w:t>Could They Protect You or Harm You?</w:t>
            </w:r>
          </w:p>
        </w:tc>
      </w:tr>
      <w:tr w:rsidR="00E3316C" w:rsidRPr="00102618" w14:paraId="18EFCAE0" w14:textId="77777777">
        <w:tc>
          <w:tcPr>
            <w:tcW w:w="1972"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0B727622" w14:textId="77777777" w:rsidR="00E3316C" w:rsidRPr="00102618" w:rsidRDefault="00000000">
            <w:pPr>
              <w:rPr>
                <w:rFonts w:ascii="Garamond" w:hAnsi="Garamond"/>
                <w:sz w:val="24"/>
                <w:szCs w:val="24"/>
              </w:rPr>
            </w:pPr>
            <w:r w:rsidRPr="00102618">
              <w:rPr>
                <w:rFonts w:ascii="Garamond" w:hAnsi="Garamond"/>
                <w:sz w:val="24"/>
                <w:szCs w:val="24"/>
              </w:rPr>
              <w:t>Family member(s)</w:t>
            </w:r>
          </w:p>
        </w:tc>
        <w:tc>
          <w:tcPr>
            <w:tcW w:w="1972"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412AA8A1" w14:textId="77777777" w:rsidR="00E3316C" w:rsidRPr="00102618" w:rsidRDefault="00E3316C">
            <w:pPr>
              <w:rPr>
                <w:rFonts w:ascii="Garamond" w:hAnsi="Garamond"/>
                <w:sz w:val="24"/>
                <w:szCs w:val="24"/>
              </w:rPr>
            </w:pPr>
          </w:p>
        </w:tc>
        <w:tc>
          <w:tcPr>
            <w:tcW w:w="1972"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1C93FDC2" w14:textId="77777777" w:rsidR="00E3316C" w:rsidRPr="00102618" w:rsidRDefault="00E3316C">
            <w:pPr>
              <w:rPr>
                <w:rFonts w:ascii="Garamond" w:hAnsi="Garamond"/>
                <w:sz w:val="24"/>
                <w:szCs w:val="24"/>
              </w:rPr>
            </w:pPr>
          </w:p>
        </w:tc>
        <w:tc>
          <w:tcPr>
            <w:tcW w:w="1972"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747ACA13" w14:textId="77777777" w:rsidR="00E3316C" w:rsidRPr="00102618" w:rsidRDefault="00E3316C">
            <w:pPr>
              <w:rPr>
                <w:rFonts w:ascii="Garamond" w:hAnsi="Garamond"/>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5A72980" w14:textId="77777777" w:rsidR="00E3316C" w:rsidRPr="00102618" w:rsidRDefault="00E3316C">
            <w:pPr>
              <w:rPr>
                <w:rFonts w:ascii="Garamond" w:hAnsi="Garamond"/>
                <w:sz w:val="24"/>
                <w:szCs w:val="24"/>
              </w:rPr>
            </w:pPr>
          </w:p>
        </w:tc>
      </w:tr>
      <w:tr w:rsidR="00E3316C" w:rsidRPr="00102618" w14:paraId="05019EB2" w14:textId="77777777">
        <w:tc>
          <w:tcPr>
            <w:tcW w:w="1972"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4246AFC4" w14:textId="77777777" w:rsidR="00E3316C" w:rsidRPr="00102618" w:rsidRDefault="00000000">
            <w:pPr>
              <w:rPr>
                <w:rFonts w:ascii="Garamond" w:hAnsi="Garamond"/>
                <w:sz w:val="24"/>
                <w:szCs w:val="24"/>
              </w:rPr>
            </w:pPr>
            <w:r w:rsidRPr="00102618">
              <w:rPr>
                <w:rFonts w:ascii="Garamond" w:hAnsi="Garamond"/>
                <w:sz w:val="24"/>
                <w:szCs w:val="24"/>
              </w:rPr>
              <w:t>Community member(s)</w:t>
            </w:r>
          </w:p>
        </w:tc>
        <w:tc>
          <w:tcPr>
            <w:tcW w:w="1972"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2CD1DB7B" w14:textId="77777777" w:rsidR="00E3316C" w:rsidRPr="00102618" w:rsidRDefault="00E3316C">
            <w:pPr>
              <w:rPr>
                <w:rFonts w:ascii="Garamond" w:hAnsi="Garamond"/>
                <w:sz w:val="24"/>
                <w:szCs w:val="24"/>
              </w:rPr>
            </w:pPr>
          </w:p>
        </w:tc>
        <w:tc>
          <w:tcPr>
            <w:tcW w:w="1972"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09DDB908" w14:textId="77777777" w:rsidR="00E3316C" w:rsidRPr="00102618" w:rsidRDefault="00E3316C">
            <w:pPr>
              <w:rPr>
                <w:rFonts w:ascii="Garamond" w:hAnsi="Garamond"/>
                <w:sz w:val="24"/>
                <w:szCs w:val="24"/>
              </w:rPr>
            </w:pPr>
          </w:p>
        </w:tc>
        <w:tc>
          <w:tcPr>
            <w:tcW w:w="1972"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1A1015FD" w14:textId="77777777" w:rsidR="00E3316C" w:rsidRPr="00102618" w:rsidRDefault="00E3316C">
            <w:pPr>
              <w:rPr>
                <w:rFonts w:ascii="Garamond" w:hAnsi="Garamond"/>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76285995" w14:textId="77777777" w:rsidR="00E3316C" w:rsidRPr="00102618" w:rsidRDefault="00E3316C">
            <w:pPr>
              <w:rPr>
                <w:rFonts w:ascii="Garamond" w:hAnsi="Garamond"/>
                <w:sz w:val="24"/>
                <w:szCs w:val="24"/>
              </w:rPr>
            </w:pPr>
          </w:p>
        </w:tc>
      </w:tr>
      <w:tr w:rsidR="00E3316C" w:rsidRPr="00102618" w14:paraId="3A9E4E85" w14:textId="77777777">
        <w:tc>
          <w:tcPr>
            <w:tcW w:w="1972"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A31C5FE" w14:textId="77777777" w:rsidR="00E3316C" w:rsidRPr="00102618" w:rsidRDefault="00000000">
            <w:pPr>
              <w:rPr>
                <w:rFonts w:ascii="Garamond" w:hAnsi="Garamond"/>
                <w:sz w:val="24"/>
                <w:szCs w:val="24"/>
              </w:rPr>
            </w:pPr>
            <w:r w:rsidRPr="00102618">
              <w:rPr>
                <w:rFonts w:ascii="Garamond" w:hAnsi="Garamond"/>
                <w:sz w:val="24"/>
                <w:szCs w:val="24"/>
              </w:rPr>
              <w:t>Police / soldiers / officials</w:t>
            </w:r>
          </w:p>
        </w:tc>
        <w:tc>
          <w:tcPr>
            <w:tcW w:w="1972"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2856502" w14:textId="77777777" w:rsidR="00E3316C" w:rsidRPr="00102618" w:rsidRDefault="00E3316C">
            <w:pPr>
              <w:rPr>
                <w:rFonts w:ascii="Garamond" w:hAnsi="Garamond"/>
                <w:sz w:val="24"/>
                <w:szCs w:val="24"/>
              </w:rPr>
            </w:pPr>
          </w:p>
        </w:tc>
        <w:tc>
          <w:tcPr>
            <w:tcW w:w="1972"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6280DF5B" w14:textId="77777777" w:rsidR="00E3316C" w:rsidRPr="00102618" w:rsidRDefault="00E3316C">
            <w:pPr>
              <w:rPr>
                <w:rFonts w:ascii="Garamond" w:hAnsi="Garamond"/>
                <w:sz w:val="24"/>
                <w:szCs w:val="24"/>
              </w:rPr>
            </w:pPr>
          </w:p>
        </w:tc>
        <w:tc>
          <w:tcPr>
            <w:tcW w:w="1972"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050599E7" w14:textId="77777777" w:rsidR="00E3316C" w:rsidRPr="00102618" w:rsidRDefault="00E3316C">
            <w:pPr>
              <w:rPr>
                <w:rFonts w:ascii="Garamond" w:hAnsi="Garamond"/>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42EDDF5A" w14:textId="77777777" w:rsidR="00E3316C" w:rsidRPr="00102618" w:rsidRDefault="00E3316C">
            <w:pPr>
              <w:rPr>
                <w:rFonts w:ascii="Garamond" w:hAnsi="Garamond"/>
                <w:sz w:val="24"/>
                <w:szCs w:val="24"/>
              </w:rPr>
            </w:pPr>
          </w:p>
        </w:tc>
      </w:tr>
      <w:tr w:rsidR="00E3316C" w:rsidRPr="00102618" w14:paraId="7F9229CE" w14:textId="77777777">
        <w:tc>
          <w:tcPr>
            <w:tcW w:w="1972"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66372173" w14:textId="77777777" w:rsidR="00E3316C" w:rsidRPr="00102618" w:rsidRDefault="00000000">
            <w:pPr>
              <w:rPr>
                <w:rFonts w:ascii="Garamond" w:hAnsi="Garamond"/>
                <w:sz w:val="24"/>
                <w:szCs w:val="24"/>
              </w:rPr>
            </w:pPr>
            <w:r w:rsidRPr="00102618">
              <w:rPr>
                <w:rFonts w:ascii="Garamond" w:hAnsi="Garamond"/>
                <w:sz w:val="24"/>
                <w:szCs w:val="24"/>
              </w:rPr>
              <w:t>Political group / gang / militia</w:t>
            </w:r>
          </w:p>
        </w:tc>
        <w:tc>
          <w:tcPr>
            <w:tcW w:w="1972"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6C0B3083" w14:textId="77777777" w:rsidR="00E3316C" w:rsidRPr="00102618" w:rsidRDefault="00E3316C">
            <w:pPr>
              <w:rPr>
                <w:rFonts w:ascii="Garamond" w:hAnsi="Garamond"/>
                <w:sz w:val="24"/>
                <w:szCs w:val="24"/>
              </w:rPr>
            </w:pPr>
          </w:p>
        </w:tc>
        <w:tc>
          <w:tcPr>
            <w:tcW w:w="1972"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0450F579" w14:textId="77777777" w:rsidR="00E3316C" w:rsidRPr="00102618" w:rsidRDefault="00E3316C">
            <w:pPr>
              <w:rPr>
                <w:rFonts w:ascii="Garamond" w:hAnsi="Garamond"/>
                <w:sz w:val="24"/>
                <w:szCs w:val="24"/>
              </w:rPr>
            </w:pPr>
          </w:p>
        </w:tc>
        <w:tc>
          <w:tcPr>
            <w:tcW w:w="1972"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30E5DB61" w14:textId="77777777" w:rsidR="00E3316C" w:rsidRPr="00102618" w:rsidRDefault="00E3316C">
            <w:pPr>
              <w:rPr>
                <w:rFonts w:ascii="Garamond" w:hAnsi="Garamond"/>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7D1DE975" w14:textId="77777777" w:rsidR="00E3316C" w:rsidRPr="00102618" w:rsidRDefault="00E3316C">
            <w:pPr>
              <w:rPr>
                <w:rFonts w:ascii="Garamond" w:hAnsi="Garamond"/>
                <w:sz w:val="24"/>
                <w:szCs w:val="24"/>
              </w:rPr>
            </w:pPr>
          </w:p>
        </w:tc>
      </w:tr>
      <w:tr w:rsidR="00E3316C" w:rsidRPr="00102618" w14:paraId="30188109" w14:textId="77777777">
        <w:tc>
          <w:tcPr>
            <w:tcW w:w="1972"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55AD13A" w14:textId="77777777" w:rsidR="00E3316C" w:rsidRPr="00102618" w:rsidRDefault="00000000">
            <w:pPr>
              <w:rPr>
                <w:rFonts w:ascii="Garamond" w:hAnsi="Garamond"/>
                <w:sz w:val="24"/>
                <w:szCs w:val="24"/>
              </w:rPr>
            </w:pPr>
            <w:r w:rsidRPr="00102618">
              <w:rPr>
                <w:rFonts w:ascii="Garamond" w:hAnsi="Garamond"/>
                <w:sz w:val="24"/>
                <w:szCs w:val="24"/>
              </w:rPr>
              <w:t>Religious / cultural authority</w:t>
            </w:r>
          </w:p>
        </w:tc>
        <w:tc>
          <w:tcPr>
            <w:tcW w:w="1972"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8196E9F" w14:textId="77777777" w:rsidR="00E3316C" w:rsidRPr="00102618" w:rsidRDefault="00E3316C">
            <w:pPr>
              <w:rPr>
                <w:rFonts w:ascii="Garamond" w:hAnsi="Garamond"/>
                <w:sz w:val="24"/>
                <w:szCs w:val="24"/>
              </w:rPr>
            </w:pPr>
          </w:p>
        </w:tc>
        <w:tc>
          <w:tcPr>
            <w:tcW w:w="1972"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72B5875A" w14:textId="77777777" w:rsidR="00E3316C" w:rsidRPr="00102618" w:rsidRDefault="00E3316C">
            <w:pPr>
              <w:rPr>
                <w:rFonts w:ascii="Garamond" w:hAnsi="Garamond"/>
                <w:sz w:val="24"/>
                <w:szCs w:val="24"/>
              </w:rPr>
            </w:pPr>
          </w:p>
        </w:tc>
        <w:tc>
          <w:tcPr>
            <w:tcW w:w="1972"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39166D60" w14:textId="77777777" w:rsidR="00E3316C" w:rsidRPr="00102618" w:rsidRDefault="00E3316C">
            <w:pPr>
              <w:rPr>
                <w:rFonts w:ascii="Garamond" w:hAnsi="Garamond"/>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C6EC216" w14:textId="77777777" w:rsidR="00E3316C" w:rsidRPr="00102618" w:rsidRDefault="00E3316C">
            <w:pPr>
              <w:rPr>
                <w:rFonts w:ascii="Garamond" w:hAnsi="Garamond"/>
                <w:sz w:val="24"/>
                <w:szCs w:val="24"/>
              </w:rPr>
            </w:pPr>
          </w:p>
        </w:tc>
      </w:tr>
      <w:tr w:rsidR="00E3316C" w:rsidRPr="00102618" w14:paraId="0B703491" w14:textId="77777777">
        <w:tc>
          <w:tcPr>
            <w:tcW w:w="1972"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371B1534" w14:textId="77777777" w:rsidR="00E3316C" w:rsidRPr="00102618" w:rsidRDefault="00000000">
            <w:pPr>
              <w:rPr>
                <w:rFonts w:ascii="Garamond" w:hAnsi="Garamond"/>
                <w:sz w:val="24"/>
                <w:szCs w:val="24"/>
              </w:rPr>
            </w:pPr>
            <w:r w:rsidRPr="00102618">
              <w:rPr>
                <w:rFonts w:ascii="Garamond" w:hAnsi="Garamond"/>
                <w:sz w:val="24"/>
                <w:szCs w:val="24"/>
              </w:rPr>
              <w:t>Employer / landlord / trafficker / partner</w:t>
            </w:r>
          </w:p>
        </w:tc>
        <w:tc>
          <w:tcPr>
            <w:tcW w:w="1972"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25094B0D" w14:textId="77777777" w:rsidR="00E3316C" w:rsidRPr="00102618" w:rsidRDefault="00E3316C">
            <w:pPr>
              <w:rPr>
                <w:rFonts w:ascii="Garamond" w:hAnsi="Garamond"/>
                <w:sz w:val="24"/>
                <w:szCs w:val="24"/>
              </w:rPr>
            </w:pPr>
          </w:p>
        </w:tc>
        <w:tc>
          <w:tcPr>
            <w:tcW w:w="1972"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7090FF6C" w14:textId="77777777" w:rsidR="00E3316C" w:rsidRPr="00102618" w:rsidRDefault="00E3316C">
            <w:pPr>
              <w:rPr>
                <w:rFonts w:ascii="Garamond" w:hAnsi="Garamond"/>
                <w:sz w:val="24"/>
                <w:szCs w:val="24"/>
              </w:rPr>
            </w:pPr>
          </w:p>
        </w:tc>
        <w:tc>
          <w:tcPr>
            <w:tcW w:w="1972"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05A3B9F0" w14:textId="77777777" w:rsidR="00E3316C" w:rsidRPr="00102618" w:rsidRDefault="00E3316C">
            <w:pPr>
              <w:rPr>
                <w:rFonts w:ascii="Garamond" w:hAnsi="Garamond"/>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7520EEA5" w14:textId="77777777" w:rsidR="00E3316C" w:rsidRPr="00102618" w:rsidRDefault="00E3316C">
            <w:pPr>
              <w:rPr>
                <w:rFonts w:ascii="Garamond" w:hAnsi="Garamond"/>
                <w:sz w:val="24"/>
                <w:szCs w:val="24"/>
              </w:rPr>
            </w:pPr>
          </w:p>
        </w:tc>
      </w:tr>
    </w:tbl>
    <w:p w14:paraId="6A9D657B" w14:textId="77777777" w:rsidR="00E3316C" w:rsidRPr="00B72171" w:rsidRDefault="00E3316C">
      <w:pPr>
        <w:spacing w:before="60" w:after="60"/>
        <w:rPr>
          <w:rFonts w:ascii="Garamond" w:hAnsi="Garamond"/>
          <w:color w:val="000000" w:themeColor="text1"/>
          <w:sz w:val="24"/>
          <w:szCs w:val="24"/>
        </w:rPr>
      </w:pPr>
    </w:p>
    <w:p w14:paraId="334B127A" w14:textId="77777777" w:rsidR="00E3316C" w:rsidRPr="00B72171" w:rsidRDefault="00000000">
      <w:pPr>
        <w:pStyle w:val="Heading3"/>
        <w:rPr>
          <w:rFonts w:ascii="Garamond" w:hAnsi="Garamond"/>
          <w:color w:val="000000" w:themeColor="text1"/>
          <w:sz w:val="24"/>
          <w:szCs w:val="24"/>
        </w:rPr>
      </w:pPr>
      <w:proofErr w:type="gramStart"/>
      <w:r w:rsidRPr="00B72171">
        <w:rPr>
          <w:rFonts w:ascii="Garamond" w:hAnsi="Garamond"/>
          <w:color w:val="000000" w:themeColor="text1"/>
          <w:sz w:val="24"/>
          <w:szCs w:val="24"/>
        </w:rPr>
        <w:t>G.4  Movement</w:t>
      </w:r>
      <w:proofErr w:type="gramEnd"/>
      <w:r w:rsidRPr="00B72171">
        <w:rPr>
          <w:rFonts w:ascii="Garamond" w:hAnsi="Garamond"/>
          <w:color w:val="000000" w:themeColor="text1"/>
          <w:sz w:val="24"/>
          <w:szCs w:val="24"/>
        </w:rPr>
        <w:t>, Safety, and Relocation Path</w:t>
      </w:r>
    </w:p>
    <w:p w14:paraId="62109049" w14:textId="77777777" w:rsidR="00E3316C" w:rsidRPr="00102618" w:rsidRDefault="00000000">
      <w:pPr>
        <w:spacing w:after="120"/>
        <w:rPr>
          <w:rFonts w:ascii="Garamond" w:hAnsi="Garamond"/>
          <w:sz w:val="24"/>
          <w:szCs w:val="24"/>
        </w:rPr>
      </w:pPr>
      <w:r w:rsidRPr="00102618">
        <w:rPr>
          <w:rFonts w:ascii="Garamond" w:hAnsi="Garamond"/>
          <w:b/>
          <w:bCs/>
          <w:sz w:val="24"/>
          <w:szCs w:val="24"/>
        </w:rPr>
        <w:t xml:space="preserve">Purpose.  </w:t>
      </w:r>
      <w:r w:rsidRPr="00102618">
        <w:rPr>
          <w:rFonts w:ascii="Garamond" w:hAnsi="Garamond"/>
          <w:sz w:val="24"/>
          <w:szCs w:val="24"/>
        </w:rPr>
        <w:t>To help map flight, internal relocation, repeated movement, and why danger remained.</w:t>
      </w:r>
    </w:p>
    <w:p w14:paraId="307C22AD" w14:textId="77777777" w:rsidR="00E3316C" w:rsidRPr="00102618" w:rsidRDefault="00000000">
      <w:pPr>
        <w:spacing w:after="120"/>
        <w:rPr>
          <w:rFonts w:ascii="Garamond" w:hAnsi="Garamond"/>
          <w:sz w:val="24"/>
          <w:szCs w:val="24"/>
        </w:rPr>
      </w:pPr>
      <w:r w:rsidRPr="00102618">
        <w:rPr>
          <w:rFonts w:ascii="Garamond" w:hAnsi="Garamond"/>
          <w:b/>
          <w:bCs/>
          <w:sz w:val="24"/>
          <w:szCs w:val="24"/>
        </w:rPr>
        <w:t xml:space="preserve">Instructions to practitioner.  </w:t>
      </w:r>
      <w:r w:rsidRPr="00102618">
        <w:rPr>
          <w:rFonts w:ascii="Garamond" w:hAnsi="Garamond"/>
          <w:sz w:val="24"/>
          <w:szCs w:val="24"/>
        </w:rPr>
        <w:t>You may say: "Let's map where you went and whether each move helped or did not help."</w:t>
      </w:r>
    </w:p>
    <w:p w14:paraId="254B1EBE" w14:textId="77777777" w:rsidR="00E3316C" w:rsidRPr="00102618" w:rsidRDefault="00E3316C">
      <w:pPr>
        <w:spacing w:before="60" w:after="60"/>
        <w:rPr>
          <w:rFonts w:ascii="Garamond" w:hAnsi="Garamond"/>
          <w:sz w:val="24"/>
          <w:szCs w:val="24"/>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72"/>
        <w:gridCol w:w="1972"/>
        <w:gridCol w:w="1972"/>
        <w:gridCol w:w="1972"/>
        <w:gridCol w:w="1832"/>
      </w:tblGrid>
      <w:tr w:rsidR="00E3316C" w:rsidRPr="00102618" w14:paraId="160CB56C" w14:textId="77777777">
        <w:trPr>
          <w:tblHeader/>
        </w:trPr>
        <w:tc>
          <w:tcPr>
            <w:tcW w:w="1972"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4DE714F9" w14:textId="77777777" w:rsidR="00E3316C" w:rsidRPr="00102618" w:rsidRDefault="00000000">
            <w:pPr>
              <w:rPr>
                <w:rFonts w:ascii="Garamond" w:hAnsi="Garamond"/>
                <w:sz w:val="24"/>
                <w:szCs w:val="24"/>
              </w:rPr>
            </w:pPr>
            <w:r w:rsidRPr="00102618">
              <w:rPr>
                <w:rFonts w:ascii="Garamond" w:hAnsi="Garamond"/>
                <w:b/>
                <w:bCs/>
                <w:color w:val="FFFFFF"/>
                <w:sz w:val="24"/>
                <w:szCs w:val="24"/>
              </w:rPr>
              <w:t>Place</w:t>
            </w:r>
          </w:p>
        </w:tc>
        <w:tc>
          <w:tcPr>
            <w:tcW w:w="1972"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351C65E8" w14:textId="77777777" w:rsidR="00E3316C" w:rsidRPr="00102618" w:rsidRDefault="00000000">
            <w:pPr>
              <w:rPr>
                <w:rFonts w:ascii="Garamond" w:hAnsi="Garamond"/>
                <w:sz w:val="24"/>
                <w:szCs w:val="24"/>
              </w:rPr>
            </w:pPr>
            <w:r w:rsidRPr="00102618">
              <w:rPr>
                <w:rFonts w:ascii="Garamond" w:hAnsi="Garamond"/>
                <w:b/>
                <w:bCs/>
                <w:color w:val="FFFFFF"/>
                <w:sz w:val="24"/>
                <w:szCs w:val="24"/>
              </w:rPr>
              <w:t>Why Did You Go There?</w:t>
            </w:r>
          </w:p>
        </w:tc>
        <w:tc>
          <w:tcPr>
            <w:tcW w:w="1972"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1D7E39C5" w14:textId="77777777" w:rsidR="00E3316C" w:rsidRPr="00102618" w:rsidRDefault="00000000">
            <w:pPr>
              <w:rPr>
                <w:rFonts w:ascii="Garamond" w:hAnsi="Garamond"/>
                <w:sz w:val="24"/>
                <w:szCs w:val="24"/>
              </w:rPr>
            </w:pPr>
            <w:r w:rsidRPr="00102618">
              <w:rPr>
                <w:rFonts w:ascii="Garamond" w:hAnsi="Garamond"/>
                <w:b/>
                <w:bCs/>
                <w:color w:val="FFFFFF"/>
                <w:sz w:val="24"/>
                <w:szCs w:val="24"/>
              </w:rPr>
              <w:t>Did It Feel Safer?</w:t>
            </w:r>
          </w:p>
        </w:tc>
        <w:tc>
          <w:tcPr>
            <w:tcW w:w="1972"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0E7AEECB" w14:textId="77777777" w:rsidR="00E3316C" w:rsidRPr="00102618" w:rsidRDefault="00000000">
            <w:pPr>
              <w:rPr>
                <w:rFonts w:ascii="Garamond" w:hAnsi="Garamond"/>
                <w:sz w:val="24"/>
                <w:szCs w:val="24"/>
              </w:rPr>
            </w:pPr>
            <w:r w:rsidRPr="00102618">
              <w:rPr>
                <w:rFonts w:ascii="Garamond" w:hAnsi="Garamond"/>
                <w:b/>
                <w:bCs/>
                <w:color w:val="FFFFFF"/>
                <w:sz w:val="24"/>
                <w:szCs w:val="24"/>
              </w:rPr>
              <w:t>What Danger Still Followed?</w:t>
            </w:r>
          </w:p>
        </w:tc>
        <w:tc>
          <w:tcPr>
            <w:tcW w:w="1832"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1D27AC61" w14:textId="77777777" w:rsidR="00E3316C" w:rsidRPr="00102618" w:rsidRDefault="00000000">
            <w:pPr>
              <w:rPr>
                <w:rFonts w:ascii="Garamond" w:hAnsi="Garamond"/>
                <w:sz w:val="24"/>
                <w:szCs w:val="24"/>
              </w:rPr>
            </w:pPr>
            <w:r w:rsidRPr="00102618">
              <w:rPr>
                <w:rFonts w:ascii="Garamond" w:hAnsi="Garamond"/>
                <w:b/>
                <w:bCs/>
                <w:color w:val="FFFFFF"/>
                <w:sz w:val="24"/>
                <w:szCs w:val="24"/>
              </w:rPr>
              <w:t>Why Could You Not Stay There?</w:t>
            </w:r>
          </w:p>
        </w:tc>
      </w:tr>
      <w:tr w:rsidR="00E3316C" w:rsidRPr="00102618" w14:paraId="23064E5B" w14:textId="77777777">
        <w:tc>
          <w:tcPr>
            <w:tcW w:w="1972"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00989BD9" w14:textId="77777777" w:rsidR="00E3316C" w:rsidRPr="00102618" w:rsidRDefault="00000000">
            <w:pPr>
              <w:rPr>
                <w:rFonts w:ascii="Garamond" w:hAnsi="Garamond"/>
                <w:sz w:val="24"/>
                <w:szCs w:val="24"/>
              </w:rPr>
            </w:pPr>
            <w:r w:rsidRPr="00102618">
              <w:rPr>
                <w:rFonts w:ascii="Garamond" w:hAnsi="Garamond"/>
                <w:sz w:val="24"/>
                <w:szCs w:val="24"/>
              </w:rPr>
              <w:t>Home / original location</w:t>
            </w:r>
          </w:p>
        </w:tc>
        <w:tc>
          <w:tcPr>
            <w:tcW w:w="1972"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799F7C5D" w14:textId="77777777" w:rsidR="00E3316C" w:rsidRPr="00102618" w:rsidRDefault="00E3316C">
            <w:pPr>
              <w:rPr>
                <w:rFonts w:ascii="Garamond" w:hAnsi="Garamond"/>
                <w:sz w:val="24"/>
                <w:szCs w:val="24"/>
              </w:rPr>
            </w:pPr>
          </w:p>
        </w:tc>
        <w:tc>
          <w:tcPr>
            <w:tcW w:w="1972"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76730640" w14:textId="77777777" w:rsidR="00E3316C" w:rsidRPr="00102618" w:rsidRDefault="00E3316C">
            <w:pPr>
              <w:rPr>
                <w:rFonts w:ascii="Garamond" w:hAnsi="Garamond"/>
                <w:sz w:val="24"/>
                <w:szCs w:val="24"/>
              </w:rPr>
            </w:pPr>
          </w:p>
        </w:tc>
        <w:tc>
          <w:tcPr>
            <w:tcW w:w="1972"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35C3C467" w14:textId="77777777" w:rsidR="00E3316C" w:rsidRPr="00102618" w:rsidRDefault="00E3316C">
            <w:pPr>
              <w:rPr>
                <w:rFonts w:ascii="Garamond" w:hAnsi="Garamond"/>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325286B3" w14:textId="77777777" w:rsidR="00E3316C" w:rsidRPr="00102618" w:rsidRDefault="00E3316C">
            <w:pPr>
              <w:rPr>
                <w:rFonts w:ascii="Garamond" w:hAnsi="Garamond"/>
                <w:sz w:val="24"/>
                <w:szCs w:val="24"/>
              </w:rPr>
            </w:pPr>
          </w:p>
        </w:tc>
      </w:tr>
      <w:tr w:rsidR="00E3316C" w:rsidRPr="00102618" w14:paraId="1412EE22" w14:textId="77777777">
        <w:tc>
          <w:tcPr>
            <w:tcW w:w="1972"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43F8BDEB" w14:textId="77777777" w:rsidR="00E3316C" w:rsidRPr="00102618" w:rsidRDefault="00000000">
            <w:pPr>
              <w:rPr>
                <w:rFonts w:ascii="Garamond" w:hAnsi="Garamond"/>
                <w:sz w:val="24"/>
                <w:szCs w:val="24"/>
              </w:rPr>
            </w:pPr>
            <w:r w:rsidRPr="00102618">
              <w:rPr>
                <w:rFonts w:ascii="Garamond" w:hAnsi="Garamond"/>
                <w:sz w:val="24"/>
                <w:szCs w:val="24"/>
              </w:rPr>
              <w:t>Second place</w:t>
            </w:r>
          </w:p>
        </w:tc>
        <w:tc>
          <w:tcPr>
            <w:tcW w:w="1972"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389AB770" w14:textId="77777777" w:rsidR="00E3316C" w:rsidRPr="00102618" w:rsidRDefault="00E3316C">
            <w:pPr>
              <w:rPr>
                <w:rFonts w:ascii="Garamond" w:hAnsi="Garamond"/>
                <w:sz w:val="24"/>
                <w:szCs w:val="24"/>
              </w:rPr>
            </w:pPr>
          </w:p>
        </w:tc>
        <w:tc>
          <w:tcPr>
            <w:tcW w:w="1972"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227C2014" w14:textId="77777777" w:rsidR="00E3316C" w:rsidRPr="00102618" w:rsidRDefault="00E3316C">
            <w:pPr>
              <w:rPr>
                <w:rFonts w:ascii="Garamond" w:hAnsi="Garamond"/>
                <w:sz w:val="24"/>
                <w:szCs w:val="24"/>
              </w:rPr>
            </w:pPr>
          </w:p>
        </w:tc>
        <w:tc>
          <w:tcPr>
            <w:tcW w:w="1972"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0EE75152" w14:textId="77777777" w:rsidR="00E3316C" w:rsidRPr="00102618" w:rsidRDefault="00E3316C">
            <w:pPr>
              <w:rPr>
                <w:rFonts w:ascii="Garamond" w:hAnsi="Garamond"/>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5B277727" w14:textId="77777777" w:rsidR="00E3316C" w:rsidRPr="00102618" w:rsidRDefault="00E3316C">
            <w:pPr>
              <w:rPr>
                <w:rFonts w:ascii="Garamond" w:hAnsi="Garamond"/>
                <w:sz w:val="24"/>
                <w:szCs w:val="24"/>
              </w:rPr>
            </w:pPr>
          </w:p>
        </w:tc>
      </w:tr>
      <w:tr w:rsidR="00E3316C" w:rsidRPr="00102618" w14:paraId="727F0FC1" w14:textId="77777777">
        <w:tc>
          <w:tcPr>
            <w:tcW w:w="1972"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35465576" w14:textId="77777777" w:rsidR="00E3316C" w:rsidRPr="00102618" w:rsidRDefault="00000000">
            <w:pPr>
              <w:rPr>
                <w:rFonts w:ascii="Garamond" w:hAnsi="Garamond"/>
                <w:sz w:val="24"/>
                <w:szCs w:val="24"/>
              </w:rPr>
            </w:pPr>
            <w:r w:rsidRPr="00102618">
              <w:rPr>
                <w:rFonts w:ascii="Garamond" w:hAnsi="Garamond"/>
                <w:sz w:val="24"/>
                <w:szCs w:val="24"/>
              </w:rPr>
              <w:t>Third place</w:t>
            </w:r>
          </w:p>
        </w:tc>
        <w:tc>
          <w:tcPr>
            <w:tcW w:w="1972"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664951CD" w14:textId="77777777" w:rsidR="00E3316C" w:rsidRPr="00102618" w:rsidRDefault="00E3316C">
            <w:pPr>
              <w:rPr>
                <w:rFonts w:ascii="Garamond" w:hAnsi="Garamond"/>
                <w:sz w:val="24"/>
                <w:szCs w:val="24"/>
              </w:rPr>
            </w:pPr>
          </w:p>
        </w:tc>
        <w:tc>
          <w:tcPr>
            <w:tcW w:w="1972"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5D41FAF" w14:textId="77777777" w:rsidR="00E3316C" w:rsidRPr="00102618" w:rsidRDefault="00E3316C">
            <w:pPr>
              <w:rPr>
                <w:rFonts w:ascii="Garamond" w:hAnsi="Garamond"/>
                <w:sz w:val="24"/>
                <w:szCs w:val="24"/>
              </w:rPr>
            </w:pPr>
          </w:p>
        </w:tc>
        <w:tc>
          <w:tcPr>
            <w:tcW w:w="1972"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5D039DD" w14:textId="77777777" w:rsidR="00E3316C" w:rsidRPr="00102618" w:rsidRDefault="00E3316C">
            <w:pPr>
              <w:rPr>
                <w:rFonts w:ascii="Garamond" w:hAnsi="Garamond"/>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3048C374" w14:textId="77777777" w:rsidR="00E3316C" w:rsidRPr="00102618" w:rsidRDefault="00E3316C">
            <w:pPr>
              <w:rPr>
                <w:rFonts w:ascii="Garamond" w:hAnsi="Garamond"/>
                <w:sz w:val="24"/>
                <w:szCs w:val="24"/>
              </w:rPr>
            </w:pPr>
          </w:p>
        </w:tc>
      </w:tr>
      <w:tr w:rsidR="00E3316C" w:rsidRPr="00102618" w14:paraId="5433637C" w14:textId="77777777">
        <w:tc>
          <w:tcPr>
            <w:tcW w:w="1972"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0F8C5E6B" w14:textId="77777777" w:rsidR="00E3316C" w:rsidRPr="00102618" w:rsidRDefault="00000000">
            <w:pPr>
              <w:rPr>
                <w:rFonts w:ascii="Garamond" w:hAnsi="Garamond"/>
                <w:sz w:val="24"/>
                <w:szCs w:val="24"/>
              </w:rPr>
            </w:pPr>
            <w:r w:rsidRPr="00102618">
              <w:rPr>
                <w:rFonts w:ascii="Garamond" w:hAnsi="Garamond"/>
                <w:sz w:val="24"/>
                <w:szCs w:val="24"/>
              </w:rPr>
              <w:t>Border / transit</w:t>
            </w:r>
          </w:p>
        </w:tc>
        <w:tc>
          <w:tcPr>
            <w:tcW w:w="1972"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170EF9BA" w14:textId="77777777" w:rsidR="00E3316C" w:rsidRPr="00102618" w:rsidRDefault="00E3316C">
            <w:pPr>
              <w:rPr>
                <w:rFonts w:ascii="Garamond" w:hAnsi="Garamond"/>
                <w:sz w:val="24"/>
                <w:szCs w:val="24"/>
              </w:rPr>
            </w:pPr>
          </w:p>
        </w:tc>
        <w:tc>
          <w:tcPr>
            <w:tcW w:w="1972"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348F19A8" w14:textId="77777777" w:rsidR="00E3316C" w:rsidRPr="00102618" w:rsidRDefault="00E3316C">
            <w:pPr>
              <w:rPr>
                <w:rFonts w:ascii="Garamond" w:hAnsi="Garamond"/>
                <w:sz w:val="24"/>
                <w:szCs w:val="24"/>
              </w:rPr>
            </w:pPr>
          </w:p>
        </w:tc>
        <w:tc>
          <w:tcPr>
            <w:tcW w:w="1972"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70D807A3" w14:textId="77777777" w:rsidR="00E3316C" w:rsidRPr="00102618" w:rsidRDefault="00E3316C">
            <w:pPr>
              <w:rPr>
                <w:rFonts w:ascii="Garamond" w:hAnsi="Garamond"/>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2AA9EE9A" w14:textId="77777777" w:rsidR="00E3316C" w:rsidRPr="00102618" w:rsidRDefault="00E3316C">
            <w:pPr>
              <w:rPr>
                <w:rFonts w:ascii="Garamond" w:hAnsi="Garamond"/>
                <w:sz w:val="24"/>
                <w:szCs w:val="24"/>
              </w:rPr>
            </w:pPr>
          </w:p>
        </w:tc>
      </w:tr>
      <w:tr w:rsidR="00E3316C" w:rsidRPr="00102618" w14:paraId="3D051642" w14:textId="77777777">
        <w:tc>
          <w:tcPr>
            <w:tcW w:w="1972"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27C6835" w14:textId="77777777" w:rsidR="00E3316C" w:rsidRPr="00102618" w:rsidRDefault="00000000">
            <w:pPr>
              <w:rPr>
                <w:rFonts w:ascii="Garamond" w:hAnsi="Garamond"/>
                <w:sz w:val="24"/>
                <w:szCs w:val="24"/>
              </w:rPr>
            </w:pPr>
            <w:r w:rsidRPr="00102618">
              <w:rPr>
                <w:rFonts w:ascii="Garamond" w:hAnsi="Garamond"/>
                <w:sz w:val="24"/>
                <w:szCs w:val="24"/>
              </w:rPr>
              <w:lastRenderedPageBreak/>
              <w:t>Arrival location</w:t>
            </w:r>
          </w:p>
        </w:tc>
        <w:tc>
          <w:tcPr>
            <w:tcW w:w="1972"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09B6A322" w14:textId="77777777" w:rsidR="00E3316C" w:rsidRPr="00102618" w:rsidRDefault="00E3316C">
            <w:pPr>
              <w:rPr>
                <w:rFonts w:ascii="Garamond" w:hAnsi="Garamond"/>
                <w:sz w:val="24"/>
                <w:szCs w:val="24"/>
              </w:rPr>
            </w:pPr>
          </w:p>
        </w:tc>
        <w:tc>
          <w:tcPr>
            <w:tcW w:w="1972"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3E9CF5B7" w14:textId="77777777" w:rsidR="00E3316C" w:rsidRPr="00102618" w:rsidRDefault="00E3316C">
            <w:pPr>
              <w:rPr>
                <w:rFonts w:ascii="Garamond" w:hAnsi="Garamond"/>
                <w:sz w:val="24"/>
                <w:szCs w:val="24"/>
              </w:rPr>
            </w:pPr>
          </w:p>
        </w:tc>
        <w:tc>
          <w:tcPr>
            <w:tcW w:w="1972"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68B4752" w14:textId="77777777" w:rsidR="00E3316C" w:rsidRPr="00102618" w:rsidRDefault="00E3316C">
            <w:pPr>
              <w:rPr>
                <w:rFonts w:ascii="Garamond" w:hAnsi="Garamond"/>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483BE676" w14:textId="77777777" w:rsidR="00E3316C" w:rsidRPr="00102618" w:rsidRDefault="00E3316C">
            <w:pPr>
              <w:rPr>
                <w:rFonts w:ascii="Garamond" w:hAnsi="Garamond"/>
                <w:sz w:val="24"/>
                <w:szCs w:val="24"/>
              </w:rPr>
            </w:pPr>
          </w:p>
        </w:tc>
      </w:tr>
    </w:tbl>
    <w:p w14:paraId="0733B035" w14:textId="77777777" w:rsidR="00E3316C" w:rsidRPr="00102618" w:rsidRDefault="00E3316C">
      <w:pPr>
        <w:spacing w:before="60" w:after="60"/>
        <w:rPr>
          <w:rFonts w:ascii="Garamond" w:hAnsi="Garamond"/>
          <w:sz w:val="24"/>
          <w:szCs w:val="24"/>
        </w:rPr>
      </w:pPr>
    </w:p>
    <w:p w14:paraId="64FB86A4" w14:textId="77777777" w:rsidR="00E3316C" w:rsidRPr="00B72171" w:rsidRDefault="00000000">
      <w:pPr>
        <w:pStyle w:val="Heading3"/>
        <w:rPr>
          <w:rFonts w:ascii="Garamond" w:hAnsi="Garamond"/>
          <w:color w:val="000000" w:themeColor="text1"/>
          <w:sz w:val="24"/>
          <w:szCs w:val="24"/>
        </w:rPr>
      </w:pPr>
      <w:proofErr w:type="gramStart"/>
      <w:r w:rsidRPr="00B72171">
        <w:rPr>
          <w:rFonts w:ascii="Garamond" w:hAnsi="Garamond"/>
          <w:color w:val="000000" w:themeColor="text1"/>
          <w:sz w:val="24"/>
          <w:szCs w:val="24"/>
        </w:rPr>
        <w:t>G.5  What</w:t>
      </w:r>
      <w:proofErr w:type="gramEnd"/>
      <w:r w:rsidRPr="00B72171">
        <w:rPr>
          <w:rFonts w:ascii="Garamond" w:hAnsi="Garamond"/>
          <w:color w:val="000000" w:themeColor="text1"/>
          <w:sz w:val="24"/>
          <w:szCs w:val="24"/>
        </w:rPr>
        <w:t xml:space="preserve"> the Persecutor Said / What It Meant</w:t>
      </w:r>
    </w:p>
    <w:p w14:paraId="206933EC" w14:textId="77777777" w:rsidR="00E3316C" w:rsidRPr="00102618" w:rsidRDefault="00000000">
      <w:pPr>
        <w:spacing w:after="120"/>
        <w:rPr>
          <w:rFonts w:ascii="Garamond" w:hAnsi="Garamond"/>
          <w:sz w:val="24"/>
          <w:szCs w:val="24"/>
        </w:rPr>
      </w:pPr>
      <w:r w:rsidRPr="00102618">
        <w:rPr>
          <w:rFonts w:ascii="Garamond" w:hAnsi="Garamond"/>
          <w:b/>
          <w:bCs/>
          <w:sz w:val="24"/>
          <w:szCs w:val="24"/>
        </w:rPr>
        <w:t xml:space="preserve">Purpose.  </w:t>
      </w:r>
      <w:r w:rsidRPr="00102618">
        <w:rPr>
          <w:rFonts w:ascii="Garamond" w:hAnsi="Garamond"/>
          <w:sz w:val="24"/>
          <w:szCs w:val="24"/>
        </w:rPr>
        <w:t>To help capture persecutors' own words, which may clarify nexus, motive, fear, and credibility.</w:t>
      </w:r>
    </w:p>
    <w:p w14:paraId="7EF99F40" w14:textId="77777777" w:rsidR="00E3316C" w:rsidRPr="00102618" w:rsidRDefault="00000000">
      <w:pPr>
        <w:spacing w:after="120"/>
        <w:rPr>
          <w:rFonts w:ascii="Garamond" w:hAnsi="Garamond"/>
          <w:sz w:val="24"/>
          <w:szCs w:val="24"/>
        </w:rPr>
      </w:pPr>
      <w:r w:rsidRPr="00102618">
        <w:rPr>
          <w:rFonts w:ascii="Garamond" w:hAnsi="Garamond"/>
          <w:b/>
          <w:bCs/>
          <w:sz w:val="24"/>
          <w:szCs w:val="24"/>
        </w:rPr>
        <w:t xml:space="preserve">Instructions to practitioner.  </w:t>
      </w:r>
      <w:r w:rsidRPr="00102618">
        <w:rPr>
          <w:rFonts w:ascii="Garamond" w:hAnsi="Garamond"/>
          <w:sz w:val="24"/>
          <w:szCs w:val="24"/>
        </w:rPr>
        <w:t>You may say: "If you remember any words they used, even only part of a sentence, those words may matter."</w:t>
      </w:r>
    </w:p>
    <w:p w14:paraId="495F5522" w14:textId="77777777" w:rsidR="00E3316C" w:rsidRPr="00102618" w:rsidRDefault="00E3316C">
      <w:pPr>
        <w:spacing w:before="60" w:after="60"/>
        <w:rPr>
          <w:rFonts w:ascii="Garamond" w:hAnsi="Garamond"/>
          <w:sz w:val="24"/>
          <w:szCs w:val="24"/>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72"/>
        <w:gridCol w:w="1772"/>
        <w:gridCol w:w="1772"/>
        <w:gridCol w:w="2072"/>
        <w:gridCol w:w="2132"/>
      </w:tblGrid>
      <w:tr w:rsidR="00E3316C" w:rsidRPr="00102618" w14:paraId="1E964AE8" w14:textId="77777777">
        <w:trPr>
          <w:tblHeader/>
        </w:trPr>
        <w:tc>
          <w:tcPr>
            <w:tcW w:w="1972"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6951CEFE" w14:textId="77777777" w:rsidR="00E3316C" w:rsidRPr="00102618" w:rsidRDefault="00000000">
            <w:pPr>
              <w:rPr>
                <w:rFonts w:ascii="Garamond" w:hAnsi="Garamond"/>
                <w:sz w:val="24"/>
                <w:szCs w:val="24"/>
              </w:rPr>
            </w:pPr>
            <w:r w:rsidRPr="00102618">
              <w:rPr>
                <w:rFonts w:ascii="Garamond" w:hAnsi="Garamond"/>
                <w:b/>
                <w:bCs/>
                <w:color w:val="FFFFFF"/>
                <w:sz w:val="24"/>
                <w:szCs w:val="24"/>
              </w:rPr>
              <w:t>Words or Phrase Used by Persecutor</w:t>
            </w:r>
          </w:p>
        </w:tc>
        <w:tc>
          <w:tcPr>
            <w:tcW w:w="1772"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027ED7B8" w14:textId="77777777" w:rsidR="00E3316C" w:rsidRPr="00102618" w:rsidRDefault="00000000">
            <w:pPr>
              <w:rPr>
                <w:rFonts w:ascii="Garamond" w:hAnsi="Garamond"/>
                <w:sz w:val="24"/>
                <w:szCs w:val="24"/>
              </w:rPr>
            </w:pPr>
            <w:r w:rsidRPr="00102618">
              <w:rPr>
                <w:rFonts w:ascii="Garamond" w:hAnsi="Garamond"/>
                <w:b/>
                <w:bCs/>
                <w:color w:val="FFFFFF"/>
                <w:sz w:val="24"/>
                <w:szCs w:val="24"/>
              </w:rPr>
              <w:t>Who Said It?</w:t>
            </w:r>
          </w:p>
        </w:tc>
        <w:tc>
          <w:tcPr>
            <w:tcW w:w="1772"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57266178" w14:textId="77777777" w:rsidR="00E3316C" w:rsidRPr="00102618" w:rsidRDefault="00000000">
            <w:pPr>
              <w:rPr>
                <w:rFonts w:ascii="Garamond" w:hAnsi="Garamond"/>
                <w:sz w:val="24"/>
                <w:szCs w:val="24"/>
              </w:rPr>
            </w:pPr>
            <w:r w:rsidRPr="00102618">
              <w:rPr>
                <w:rFonts w:ascii="Garamond" w:hAnsi="Garamond"/>
                <w:b/>
                <w:bCs/>
                <w:color w:val="FFFFFF"/>
                <w:sz w:val="24"/>
                <w:szCs w:val="24"/>
              </w:rPr>
              <w:t>In What Context?</w:t>
            </w:r>
          </w:p>
        </w:tc>
        <w:tc>
          <w:tcPr>
            <w:tcW w:w="2072"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76761834" w14:textId="77777777" w:rsidR="00E3316C" w:rsidRPr="00102618" w:rsidRDefault="00000000">
            <w:pPr>
              <w:rPr>
                <w:rFonts w:ascii="Garamond" w:hAnsi="Garamond"/>
                <w:sz w:val="24"/>
                <w:szCs w:val="24"/>
              </w:rPr>
            </w:pPr>
            <w:r w:rsidRPr="00102618">
              <w:rPr>
                <w:rFonts w:ascii="Garamond" w:hAnsi="Garamond"/>
                <w:b/>
                <w:bCs/>
                <w:color w:val="FFFFFF"/>
                <w:sz w:val="24"/>
                <w:szCs w:val="24"/>
              </w:rPr>
              <w:t>What Did It Mean to You at the Time?</w:t>
            </w:r>
          </w:p>
        </w:tc>
        <w:tc>
          <w:tcPr>
            <w:tcW w:w="2132"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2B8B6B0B" w14:textId="77777777" w:rsidR="00E3316C" w:rsidRPr="00102618" w:rsidRDefault="00000000">
            <w:pPr>
              <w:rPr>
                <w:rFonts w:ascii="Garamond" w:hAnsi="Garamond"/>
                <w:sz w:val="24"/>
                <w:szCs w:val="24"/>
              </w:rPr>
            </w:pPr>
            <w:r w:rsidRPr="00102618">
              <w:rPr>
                <w:rFonts w:ascii="Garamond" w:hAnsi="Garamond"/>
                <w:b/>
                <w:bCs/>
                <w:color w:val="FFFFFF"/>
                <w:sz w:val="24"/>
                <w:szCs w:val="24"/>
              </w:rPr>
              <w:t>Why Does It Matter Now?</w:t>
            </w:r>
          </w:p>
        </w:tc>
      </w:tr>
      <w:tr w:rsidR="00E3316C" w:rsidRPr="00102618" w14:paraId="3F2E820F" w14:textId="77777777">
        <w:tc>
          <w:tcPr>
            <w:tcW w:w="1972"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06C46BD2" w14:textId="77777777" w:rsidR="00E3316C" w:rsidRPr="00102618" w:rsidRDefault="00E3316C">
            <w:pPr>
              <w:rPr>
                <w:rFonts w:ascii="Garamond" w:hAnsi="Garamond"/>
                <w:sz w:val="24"/>
                <w:szCs w:val="24"/>
              </w:rPr>
            </w:pPr>
          </w:p>
        </w:tc>
        <w:tc>
          <w:tcPr>
            <w:tcW w:w="1772"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3868F9FB" w14:textId="77777777" w:rsidR="00E3316C" w:rsidRPr="00102618" w:rsidRDefault="00E3316C">
            <w:pPr>
              <w:rPr>
                <w:rFonts w:ascii="Garamond" w:hAnsi="Garamond"/>
                <w:sz w:val="24"/>
                <w:szCs w:val="24"/>
              </w:rPr>
            </w:pPr>
          </w:p>
        </w:tc>
        <w:tc>
          <w:tcPr>
            <w:tcW w:w="1772"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E4AEFD8" w14:textId="77777777" w:rsidR="00E3316C" w:rsidRPr="00102618" w:rsidRDefault="00E3316C">
            <w:pPr>
              <w:rPr>
                <w:rFonts w:ascii="Garamond" w:hAnsi="Garamond"/>
                <w:sz w:val="24"/>
                <w:szCs w:val="24"/>
              </w:rPr>
            </w:pPr>
          </w:p>
        </w:tc>
        <w:tc>
          <w:tcPr>
            <w:tcW w:w="2072"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0BE00D42" w14:textId="77777777" w:rsidR="00E3316C" w:rsidRPr="00102618" w:rsidRDefault="00E3316C">
            <w:pPr>
              <w:rPr>
                <w:rFonts w:ascii="Garamond" w:hAnsi="Garamond"/>
                <w:sz w:val="24"/>
                <w:szCs w:val="24"/>
              </w:rPr>
            </w:pPr>
          </w:p>
        </w:tc>
        <w:tc>
          <w:tcPr>
            <w:tcW w:w="2132"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D696403" w14:textId="77777777" w:rsidR="00E3316C" w:rsidRPr="00102618" w:rsidRDefault="00E3316C">
            <w:pPr>
              <w:rPr>
                <w:rFonts w:ascii="Garamond" w:hAnsi="Garamond"/>
                <w:sz w:val="24"/>
                <w:szCs w:val="24"/>
              </w:rPr>
            </w:pPr>
          </w:p>
        </w:tc>
      </w:tr>
      <w:tr w:rsidR="00E3316C" w:rsidRPr="00102618" w14:paraId="6BAF300D" w14:textId="77777777">
        <w:tc>
          <w:tcPr>
            <w:tcW w:w="1972"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76405169" w14:textId="77777777" w:rsidR="00E3316C" w:rsidRPr="00102618" w:rsidRDefault="00E3316C">
            <w:pPr>
              <w:rPr>
                <w:rFonts w:ascii="Garamond" w:hAnsi="Garamond"/>
                <w:sz w:val="24"/>
                <w:szCs w:val="24"/>
              </w:rPr>
            </w:pPr>
          </w:p>
        </w:tc>
        <w:tc>
          <w:tcPr>
            <w:tcW w:w="1772"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1C8032CA" w14:textId="77777777" w:rsidR="00E3316C" w:rsidRPr="00102618" w:rsidRDefault="00E3316C">
            <w:pPr>
              <w:rPr>
                <w:rFonts w:ascii="Garamond" w:hAnsi="Garamond"/>
                <w:sz w:val="24"/>
                <w:szCs w:val="24"/>
              </w:rPr>
            </w:pPr>
          </w:p>
        </w:tc>
        <w:tc>
          <w:tcPr>
            <w:tcW w:w="1772"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7D293CC8" w14:textId="77777777" w:rsidR="00E3316C" w:rsidRPr="00102618" w:rsidRDefault="00E3316C">
            <w:pPr>
              <w:rPr>
                <w:rFonts w:ascii="Garamond" w:hAnsi="Garamond"/>
                <w:sz w:val="24"/>
                <w:szCs w:val="24"/>
              </w:rPr>
            </w:pPr>
          </w:p>
        </w:tc>
        <w:tc>
          <w:tcPr>
            <w:tcW w:w="2072"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320DB6D9" w14:textId="77777777" w:rsidR="00E3316C" w:rsidRPr="00102618" w:rsidRDefault="00E3316C">
            <w:pPr>
              <w:rPr>
                <w:rFonts w:ascii="Garamond" w:hAnsi="Garamond"/>
                <w:sz w:val="24"/>
                <w:szCs w:val="24"/>
              </w:rPr>
            </w:pPr>
          </w:p>
        </w:tc>
        <w:tc>
          <w:tcPr>
            <w:tcW w:w="2132"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532C75C7" w14:textId="77777777" w:rsidR="00E3316C" w:rsidRPr="00102618" w:rsidRDefault="00E3316C">
            <w:pPr>
              <w:rPr>
                <w:rFonts w:ascii="Garamond" w:hAnsi="Garamond"/>
                <w:sz w:val="24"/>
                <w:szCs w:val="24"/>
              </w:rPr>
            </w:pPr>
          </w:p>
        </w:tc>
      </w:tr>
      <w:tr w:rsidR="00E3316C" w:rsidRPr="00102618" w14:paraId="560E2DF5" w14:textId="77777777">
        <w:tc>
          <w:tcPr>
            <w:tcW w:w="1972"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3AD35DFB" w14:textId="77777777" w:rsidR="00E3316C" w:rsidRPr="00102618" w:rsidRDefault="00E3316C">
            <w:pPr>
              <w:rPr>
                <w:rFonts w:ascii="Garamond" w:hAnsi="Garamond"/>
                <w:sz w:val="24"/>
                <w:szCs w:val="24"/>
              </w:rPr>
            </w:pPr>
          </w:p>
        </w:tc>
        <w:tc>
          <w:tcPr>
            <w:tcW w:w="1772"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9C93861" w14:textId="77777777" w:rsidR="00E3316C" w:rsidRPr="00102618" w:rsidRDefault="00E3316C">
            <w:pPr>
              <w:rPr>
                <w:rFonts w:ascii="Garamond" w:hAnsi="Garamond"/>
                <w:sz w:val="24"/>
                <w:szCs w:val="24"/>
              </w:rPr>
            </w:pPr>
          </w:p>
        </w:tc>
        <w:tc>
          <w:tcPr>
            <w:tcW w:w="1772"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1784C50C" w14:textId="77777777" w:rsidR="00E3316C" w:rsidRPr="00102618" w:rsidRDefault="00E3316C">
            <w:pPr>
              <w:rPr>
                <w:rFonts w:ascii="Garamond" w:hAnsi="Garamond"/>
                <w:sz w:val="24"/>
                <w:szCs w:val="24"/>
              </w:rPr>
            </w:pPr>
          </w:p>
        </w:tc>
        <w:tc>
          <w:tcPr>
            <w:tcW w:w="2072"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B880EBC" w14:textId="77777777" w:rsidR="00E3316C" w:rsidRPr="00102618" w:rsidRDefault="00E3316C">
            <w:pPr>
              <w:rPr>
                <w:rFonts w:ascii="Garamond" w:hAnsi="Garamond"/>
                <w:sz w:val="24"/>
                <w:szCs w:val="24"/>
              </w:rPr>
            </w:pPr>
          </w:p>
        </w:tc>
        <w:tc>
          <w:tcPr>
            <w:tcW w:w="2132"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0DAA370A" w14:textId="77777777" w:rsidR="00E3316C" w:rsidRPr="00102618" w:rsidRDefault="00E3316C">
            <w:pPr>
              <w:rPr>
                <w:rFonts w:ascii="Garamond" w:hAnsi="Garamond"/>
                <w:sz w:val="24"/>
                <w:szCs w:val="24"/>
              </w:rPr>
            </w:pPr>
          </w:p>
        </w:tc>
      </w:tr>
    </w:tbl>
    <w:p w14:paraId="7905FA19" w14:textId="77777777" w:rsidR="00E3316C" w:rsidRPr="00102618" w:rsidRDefault="00E3316C">
      <w:pPr>
        <w:spacing w:before="60" w:after="60"/>
        <w:rPr>
          <w:rFonts w:ascii="Garamond" w:hAnsi="Garamond"/>
          <w:sz w:val="24"/>
          <w:szCs w:val="24"/>
        </w:rPr>
      </w:pPr>
    </w:p>
    <w:p w14:paraId="75589913" w14:textId="77777777" w:rsidR="00E3316C" w:rsidRPr="00B72171" w:rsidRDefault="00000000">
      <w:pPr>
        <w:pStyle w:val="Heading3"/>
        <w:rPr>
          <w:rFonts w:ascii="Garamond" w:hAnsi="Garamond"/>
          <w:color w:val="000000" w:themeColor="text1"/>
          <w:sz w:val="24"/>
          <w:szCs w:val="24"/>
        </w:rPr>
      </w:pPr>
      <w:proofErr w:type="gramStart"/>
      <w:r w:rsidRPr="00B72171">
        <w:rPr>
          <w:rFonts w:ascii="Garamond" w:hAnsi="Garamond"/>
          <w:color w:val="000000" w:themeColor="text1"/>
          <w:sz w:val="24"/>
          <w:szCs w:val="24"/>
        </w:rPr>
        <w:t>G.6  Regulation</w:t>
      </w:r>
      <w:proofErr w:type="gramEnd"/>
      <w:r w:rsidRPr="00B72171">
        <w:rPr>
          <w:rFonts w:ascii="Garamond" w:hAnsi="Garamond"/>
          <w:color w:val="000000" w:themeColor="text1"/>
          <w:sz w:val="24"/>
          <w:szCs w:val="24"/>
        </w:rPr>
        <w:t xml:space="preserve"> and "Return Later" Card</w:t>
      </w:r>
    </w:p>
    <w:p w14:paraId="62F561D1" w14:textId="77777777" w:rsidR="00E3316C" w:rsidRPr="00102618" w:rsidRDefault="00000000">
      <w:pPr>
        <w:spacing w:after="120"/>
        <w:rPr>
          <w:rFonts w:ascii="Garamond" w:hAnsi="Garamond"/>
          <w:sz w:val="24"/>
          <w:szCs w:val="24"/>
        </w:rPr>
      </w:pPr>
      <w:r w:rsidRPr="00102618">
        <w:rPr>
          <w:rFonts w:ascii="Garamond" w:hAnsi="Garamond"/>
          <w:b/>
          <w:bCs/>
          <w:sz w:val="24"/>
          <w:szCs w:val="24"/>
        </w:rPr>
        <w:t xml:space="preserve">Purpose.  </w:t>
      </w:r>
      <w:r w:rsidRPr="00102618">
        <w:rPr>
          <w:rFonts w:ascii="Garamond" w:hAnsi="Garamond"/>
          <w:sz w:val="24"/>
          <w:szCs w:val="24"/>
        </w:rPr>
        <w:t>To support safe pacing when a client becomes flooded, shuts down, dissociates, or can no longer answer clearly.</w:t>
      </w:r>
    </w:p>
    <w:p w14:paraId="7AB668C3" w14:textId="77777777" w:rsidR="00E3316C" w:rsidRPr="00102618" w:rsidRDefault="00000000">
      <w:pPr>
        <w:spacing w:after="120"/>
        <w:rPr>
          <w:rFonts w:ascii="Garamond" w:hAnsi="Garamond"/>
          <w:sz w:val="24"/>
          <w:szCs w:val="24"/>
        </w:rPr>
      </w:pPr>
      <w:r w:rsidRPr="00102618">
        <w:rPr>
          <w:rFonts w:ascii="Garamond" w:hAnsi="Garamond"/>
          <w:b/>
          <w:bCs/>
          <w:sz w:val="24"/>
          <w:szCs w:val="24"/>
        </w:rPr>
        <w:t xml:space="preserve">Instructions to practitioner.  </w:t>
      </w:r>
      <w:r w:rsidRPr="00102618">
        <w:rPr>
          <w:rFonts w:ascii="Garamond" w:hAnsi="Garamond"/>
          <w:sz w:val="24"/>
          <w:szCs w:val="24"/>
        </w:rPr>
        <w:t>This is not a client test. It is a visual pause-and-choice aid. You may say: "We can slow down. You can point to what feels right."</w:t>
      </w:r>
    </w:p>
    <w:p w14:paraId="42DDF8E0" w14:textId="77777777" w:rsidR="00E3316C" w:rsidRPr="00102618" w:rsidRDefault="00E3316C">
      <w:pPr>
        <w:spacing w:before="60" w:after="60"/>
        <w:rPr>
          <w:rFonts w:ascii="Garamond" w:hAnsi="Garamond"/>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40"/>
        <w:gridCol w:w="3120"/>
      </w:tblGrid>
      <w:tr w:rsidR="00E3316C" w:rsidRPr="00102618" w14:paraId="0DE6B2B8" w14:textId="77777777">
        <w:trPr>
          <w:tblHeader/>
        </w:trPr>
        <w:tc>
          <w:tcPr>
            <w:tcW w:w="624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58A182C3" w14:textId="77777777" w:rsidR="00E3316C" w:rsidRPr="00102618" w:rsidRDefault="00000000">
            <w:pPr>
              <w:rPr>
                <w:rFonts w:ascii="Garamond" w:hAnsi="Garamond"/>
                <w:sz w:val="24"/>
                <w:szCs w:val="24"/>
              </w:rPr>
            </w:pPr>
            <w:r w:rsidRPr="00102618">
              <w:rPr>
                <w:rFonts w:ascii="Garamond" w:hAnsi="Garamond"/>
                <w:b/>
                <w:bCs/>
                <w:color w:val="FFFFFF"/>
                <w:sz w:val="24"/>
                <w:szCs w:val="24"/>
              </w:rPr>
              <w:t>What Is Happening Right Now?</w:t>
            </w:r>
          </w:p>
        </w:tc>
        <w:tc>
          <w:tcPr>
            <w:tcW w:w="31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4722676E" w14:textId="77777777" w:rsidR="00E3316C" w:rsidRPr="00102618" w:rsidRDefault="00000000">
            <w:pPr>
              <w:rPr>
                <w:rFonts w:ascii="Garamond" w:hAnsi="Garamond"/>
                <w:sz w:val="24"/>
                <w:szCs w:val="24"/>
              </w:rPr>
            </w:pPr>
            <w:r w:rsidRPr="00102618">
              <w:rPr>
                <w:rFonts w:ascii="Garamond" w:hAnsi="Garamond"/>
                <w:b/>
                <w:bCs/>
                <w:color w:val="FFFFFF"/>
                <w:sz w:val="24"/>
                <w:szCs w:val="24"/>
              </w:rPr>
              <w:t>What We Can Do</w:t>
            </w:r>
          </w:p>
        </w:tc>
      </w:tr>
      <w:tr w:rsidR="00E3316C" w:rsidRPr="00102618" w14:paraId="7B3B417B" w14:textId="77777777">
        <w:tc>
          <w:tcPr>
            <w:tcW w:w="6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6662E275" w14:textId="77777777" w:rsidR="00E3316C" w:rsidRPr="00102618" w:rsidRDefault="00000000">
            <w:pPr>
              <w:rPr>
                <w:rFonts w:ascii="Garamond" w:hAnsi="Garamond"/>
                <w:sz w:val="24"/>
                <w:szCs w:val="24"/>
              </w:rPr>
            </w:pPr>
            <w:r w:rsidRPr="00102618">
              <w:rPr>
                <w:rFonts w:ascii="Garamond" w:hAnsi="Garamond"/>
                <w:sz w:val="24"/>
                <w:szCs w:val="24"/>
              </w:rPr>
              <w:t>I need a pause</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7A968362" w14:textId="77777777" w:rsidR="00E3316C" w:rsidRPr="00102618" w:rsidRDefault="00000000">
            <w:pPr>
              <w:rPr>
                <w:rFonts w:ascii="Garamond" w:hAnsi="Garamond"/>
                <w:sz w:val="24"/>
                <w:szCs w:val="24"/>
              </w:rPr>
            </w:pPr>
            <w:r w:rsidRPr="00102618">
              <w:rPr>
                <w:rFonts w:ascii="Garamond" w:hAnsi="Garamond"/>
                <w:sz w:val="24"/>
                <w:szCs w:val="24"/>
              </w:rPr>
              <w:t>Stop for a moment</w:t>
            </w:r>
          </w:p>
        </w:tc>
      </w:tr>
      <w:tr w:rsidR="00E3316C" w:rsidRPr="00102618" w14:paraId="27492F1A" w14:textId="77777777">
        <w:tc>
          <w:tcPr>
            <w:tcW w:w="62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2B4C07B1" w14:textId="77777777" w:rsidR="00E3316C" w:rsidRPr="00102618" w:rsidRDefault="00000000">
            <w:pPr>
              <w:rPr>
                <w:rFonts w:ascii="Garamond" w:hAnsi="Garamond"/>
                <w:sz w:val="24"/>
                <w:szCs w:val="24"/>
              </w:rPr>
            </w:pPr>
            <w:r w:rsidRPr="00102618">
              <w:rPr>
                <w:rFonts w:ascii="Garamond" w:hAnsi="Garamond"/>
                <w:sz w:val="24"/>
                <w:szCs w:val="24"/>
              </w:rPr>
              <w:t>I can answer a little, but not everything</w:t>
            </w:r>
          </w:p>
        </w:tc>
        <w:tc>
          <w:tcPr>
            <w:tcW w:w="31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1ECFDC75" w14:textId="77777777" w:rsidR="00E3316C" w:rsidRPr="00102618" w:rsidRDefault="00000000">
            <w:pPr>
              <w:rPr>
                <w:rFonts w:ascii="Garamond" w:hAnsi="Garamond"/>
                <w:sz w:val="24"/>
                <w:szCs w:val="24"/>
              </w:rPr>
            </w:pPr>
            <w:r w:rsidRPr="00102618">
              <w:rPr>
                <w:rFonts w:ascii="Garamond" w:hAnsi="Garamond"/>
                <w:sz w:val="24"/>
                <w:szCs w:val="24"/>
              </w:rPr>
              <w:t>Ask one small question only</w:t>
            </w:r>
          </w:p>
        </w:tc>
      </w:tr>
      <w:tr w:rsidR="00E3316C" w:rsidRPr="00102618" w14:paraId="3309DEC4" w14:textId="77777777">
        <w:tc>
          <w:tcPr>
            <w:tcW w:w="6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3DA0AD92" w14:textId="77777777" w:rsidR="00E3316C" w:rsidRPr="00102618" w:rsidRDefault="00000000">
            <w:pPr>
              <w:rPr>
                <w:rFonts w:ascii="Garamond" w:hAnsi="Garamond"/>
                <w:sz w:val="24"/>
                <w:szCs w:val="24"/>
              </w:rPr>
            </w:pPr>
            <w:r w:rsidRPr="00102618">
              <w:rPr>
                <w:rFonts w:ascii="Garamond" w:hAnsi="Garamond"/>
                <w:sz w:val="24"/>
                <w:szCs w:val="24"/>
              </w:rPr>
              <w:t>I do not want to talk about this yet</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582F8B8F" w14:textId="77777777" w:rsidR="00E3316C" w:rsidRPr="00102618" w:rsidRDefault="00000000">
            <w:pPr>
              <w:rPr>
                <w:rFonts w:ascii="Garamond" w:hAnsi="Garamond"/>
                <w:sz w:val="24"/>
                <w:szCs w:val="24"/>
              </w:rPr>
            </w:pPr>
            <w:r w:rsidRPr="00102618">
              <w:rPr>
                <w:rFonts w:ascii="Garamond" w:hAnsi="Garamond"/>
                <w:sz w:val="24"/>
                <w:szCs w:val="24"/>
              </w:rPr>
              <w:t>Mark as "return later"</w:t>
            </w:r>
          </w:p>
        </w:tc>
      </w:tr>
      <w:tr w:rsidR="00E3316C" w:rsidRPr="00102618" w14:paraId="688E2E6E" w14:textId="77777777">
        <w:tc>
          <w:tcPr>
            <w:tcW w:w="62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1CB3DBAC" w14:textId="77777777" w:rsidR="00E3316C" w:rsidRPr="00102618" w:rsidRDefault="00000000">
            <w:pPr>
              <w:rPr>
                <w:rFonts w:ascii="Garamond" w:hAnsi="Garamond"/>
                <w:sz w:val="24"/>
                <w:szCs w:val="24"/>
              </w:rPr>
            </w:pPr>
            <w:r w:rsidRPr="00102618">
              <w:rPr>
                <w:rFonts w:ascii="Garamond" w:hAnsi="Garamond"/>
                <w:sz w:val="24"/>
                <w:szCs w:val="24"/>
              </w:rPr>
              <w:t>I feel confused</w:t>
            </w:r>
          </w:p>
        </w:tc>
        <w:tc>
          <w:tcPr>
            <w:tcW w:w="31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3AFF207D" w14:textId="77777777" w:rsidR="00E3316C" w:rsidRPr="00102618" w:rsidRDefault="00000000">
            <w:pPr>
              <w:rPr>
                <w:rFonts w:ascii="Garamond" w:hAnsi="Garamond"/>
                <w:sz w:val="24"/>
                <w:szCs w:val="24"/>
              </w:rPr>
            </w:pPr>
            <w:r w:rsidRPr="00102618">
              <w:rPr>
                <w:rFonts w:ascii="Garamond" w:hAnsi="Garamond"/>
                <w:sz w:val="24"/>
                <w:szCs w:val="24"/>
              </w:rPr>
              <w:t>Clarify one word or one step</w:t>
            </w:r>
          </w:p>
        </w:tc>
      </w:tr>
      <w:tr w:rsidR="00E3316C" w:rsidRPr="00102618" w14:paraId="322DC366" w14:textId="77777777">
        <w:tc>
          <w:tcPr>
            <w:tcW w:w="6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319815B1" w14:textId="77777777" w:rsidR="00E3316C" w:rsidRPr="00102618" w:rsidRDefault="00000000">
            <w:pPr>
              <w:rPr>
                <w:rFonts w:ascii="Garamond" w:hAnsi="Garamond"/>
                <w:sz w:val="24"/>
                <w:szCs w:val="24"/>
              </w:rPr>
            </w:pPr>
            <w:r w:rsidRPr="00102618">
              <w:rPr>
                <w:rFonts w:ascii="Garamond" w:hAnsi="Garamond"/>
                <w:sz w:val="24"/>
                <w:szCs w:val="24"/>
              </w:rPr>
              <w:t>I feel overwhelmed in my body</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3284F813" w14:textId="77777777" w:rsidR="00E3316C" w:rsidRPr="00102618" w:rsidRDefault="00000000">
            <w:pPr>
              <w:rPr>
                <w:rFonts w:ascii="Garamond" w:hAnsi="Garamond"/>
                <w:sz w:val="24"/>
                <w:szCs w:val="24"/>
              </w:rPr>
            </w:pPr>
            <w:r w:rsidRPr="00102618">
              <w:rPr>
                <w:rFonts w:ascii="Garamond" w:hAnsi="Garamond"/>
                <w:sz w:val="24"/>
                <w:szCs w:val="24"/>
              </w:rPr>
              <w:t>Ground first, then decide whether to continue</w:t>
            </w:r>
          </w:p>
        </w:tc>
      </w:tr>
      <w:tr w:rsidR="00E3316C" w:rsidRPr="00102618" w14:paraId="56D9ED70" w14:textId="77777777">
        <w:tc>
          <w:tcPr>
            <w:tcW w:w="62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20ADF95F" w14:textId="77777777" w:rsidR="00E3316C" w:rsidRPr="00102618" w:rsidRDefault="00000000">
            <w:pPr>
              <w:rPr>
                <w:rFonts w:ascii="Garamond" w:hAnsi="Garamond"/>
                <w:sz w:val="24"/>
                <w:szCs w:val="24"/>
              </w:rPr>
            </w:pPr>
            <w:r w:rsidRPr="00102618">
              <w:rPr>
                <w:rFonts w:ascii="Garamond" w:hAnsi="Garamond"/>
                <w:sz w:val="24"/>
                <w:szCs w:val="24"/>
              </w:rPr>
              <w:t>I want to keep going</w:t>
            </w:r>
          </w:p>
        </w:tc>
        <w:tc>
          <w:tcPr>
            <w:tcW w:w="31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4D4478C5" w14:textId="77777777" w:rsidR="00E3316C" w:rsidRPr="00102618" w:rsidRDefault="00000000">
            <w:pPr>
              <w:rPr>
                <w:rFonts w:ascii="Garamond" w:hAnsi="Garamond"/>
                <w:sz w:val="24"/>
                <w:szCs w:val="24"/>
              </w:rPr>
            </w:pPr>
            <w:r w:rsidRPr="00102618">
              <w:rPr>
                <w:rFonts w:ascii="Garamond" w:hAnsi="Garamond"/>
                <w:sz w:val="24"/>
                <w:szCs w:val="24"/>
              </w:rPr>
              <w:t>Continue slowly</w:t>
            </w:r>
          </w:p>
        </w:tc>
      </w:tr>
    </w:tbl>
    <w:p w14:paraId="0176D3A8" w14:textId="77777777" w:rsidR="00E3316C" w:rsidRPr="00102618" w:rsidRDefault="00E3316C">
      <w:pPr>
        <w:spacing w:before="60" w:after="60"/>
        <w:rPr>
          <w:rFonts w:ascii="Garamond" w:hAnsi="Garamond"/>
          <w:sz w:val="24"/>
          <w:szCs w:val="24"/>
        </w:rPr>
      </w:pPr>
    </w:p>
    <w:p w14:paraId="46A29212" w14:textId="77777777" w:rsidR="00E3316C" w:rsidRPr="00102618" w:rsidRDefault="00000000">
      <w:pPr>
        <w:spacing w:after="120"/>
        <w:rPr>
          <w:rFonts w:ascii="Garamond" w:hAnsi="Garamond"/>
          <w:sz w:val="24"/>
          <w:szCs w:val="24"/>
        </w:rPr>
      </w:pPr>
      <w:r w:rsidRPr="00102618">
        <w:rPr>
          <w:rFonts w:ascii="Garamond" w:hAnsi="Garamond"/>
          <w:b/>
          <w:bCs/>
          <w:sz w:val="24"/>
          <w:szCs w:val="24"/>
        </w:rPr>
        <w:lastRenderedPageBreak/>
        <w:t xml:space="preserve">Grounding choices.  </w:t>
      </w:r>
      <w:r w:rsidRPr="00102618">
        <w:rPr>
          <w:rFonts w:ascii="Garamond" w:hAnsi="Garamond"/>
          <w:sz w:val="24"/>
          <w:szCs w:val="24"/>
        </w:rPr>
        <w:t>Look around and name five things you can see; put both feet on the ground; take a drink of water; stand up or stretch; shift to a less difficult question; stop and return later.</w:t>
      </w:r>
    </w:p>
    <w:p w14:paraId="65CAA5AA" w14:textId="77777777" w:rsidR="00E3316C" w:rsidRPr="00102618" w:rsidRDefault="00E3316C">
      <w:pPr>
        <w:spacing w:before="60" w:after="60"/>
        <w:rPr>
          <w:rFonts w:ascii="Garamond" w:hAnsi="Garamond"/>
          <w:sz w:val="24"/>
          <w:szCs w:val="24"/>
        </w:rPr>
      </w:pPr>
    </w:p>
    <w:p w14:paraId="2A4249FE" w14:textId="77777777" w:rsidR="00E3316C" w:rsidRPr="00B72171" w:rsidRDefault="00000000">
      <w:pPr>
        <w:pStyle w:val="Heading3"/>
        <w:rPr>
          <w:rFonts w:ascii="Garamond" w:hAnsi="Garamond"/>
          <w:color w:val="000000" w:themeColor="text1"/>
          <w:sz w:val="24"/>
          <w:szCs w:val="24"/>
        </w:rPr>
      </w:pPr>
      <w:proofErr w:type="gramStart"/>
      <w:r w:rsidRPr="00B72171">
        <w:rPr>
          <w:rFonts w:ascii="Garamond" w:hAnsi="Garamond"/>
          <w:color w:val="000000" w:themeColor="text1"/>
          <w:sz w:val="24"/>
          <w:szCs w:val="24"/>
        </w:rPr>
        <w:t>G.7  Youth</w:t>
      </w:r>
      <w:proofErr w:type="gramEnd"/>
      <w:r w:rsidRPr="00B72171">
        <w:rPr>
          <w:rFonts w:ascii="Garamond" w:hAnsi="Garamond"/>
          <w:color w:val="000000" w:themeColor="text1"/>
          <w:sz w:val="24"/>
          <w:szCs w:val="24"/>
        </w:rPr>
        <w:t xml:space="preserve"> / Developmental Memory Support</w:t>
      </w:r>
    </w:p>
    <w:p w14:paraId="4C1D69F1" w14:textId="77777777" w:rsidR="00E3316C" w:rsidRPr="00102618" w:rsidRDefault="00000000">
      <w:pPr>
        <w:spacing w:after="120"/>
        <w:rPr>
          <w:rFonts w:ascii="Garamond" w:hAnsi="Garamond"/>
          <w:sz w:val="24"/>
          <w:szCs w:val="24"/>
        </w:rPr>
      </w:pPr>
      <w:r w:rsidRPr="00102618">
        <w:rPr>
          <w:rFonts w:ascii="Garamond" w:hAnsi="Garamond"/>
          <w:b/>
          <w:bCs/>
          <w:sz w:val="24"/>
          <w:szCs w:val="24"/>
        </w:rPr>
        <w:t xml:space="preserve">Purpose.  </w:t>
      </w:r>
      <w:r w:rsidRPr="00102618">
        <w:rPr>
          <w:rFonts w:ascii="Garamond" w:hAnsi="Garamond"/>
          <w:sz w:val="24"/>
          <w:szCs w:val="24"/>
        </w:rPr>
        <w:t>To support clients who were harmed as children or adolescents and may organize memory around school stage, family events, separation, or developmental milestones rather than dates.</w:t>
      </w:r>
    </w:p>
    <w:p w14:paraId="1F762622" w14:textId="77777777" w:rsidR="00E3316C" w:rsidRPr="00102618" w:rsidRDefault="00000000">
      <w:pPr>
        <w:spacing w:after="120"/>
        <w:rPr>
          <w:rFonts w:ascii="Garamond" w:hAnsi="Garamond"/>
          <w:sz w:val="24"/>
          <w:szCs w:val="24"/>
        </w:rPr>
      </w:pPr>
      <w:r w:rsidRPr="00102618">
        <w:rPr>
          <w:rFonts w:ascii="Garamond" w:hAnsi="Garamond"/>
          <w:b/>
          <w:bCs/>
          <w:sz w:val="24"/>
          <w:szCs w:val="24"/>
        </w:rPr>
        <w:t xml:space="preserve">Instructions to practitioner.  </w:t>
      </w:r>
      <w:r w:rsidRPr="00102618">
        <w:rPr>
          <w:rFonts w:ascii="Garamond" w:hAnsi="Garamond"/>
          <w:sz w:val="24"/>
          <w:szCs w:val="24"/>
        </w:rPr>
        <w:t>You may say: "You do not need exact years. We can think about how old you were, what grade you were in, who cared for you then, or what changed in your family."</w:t>
      </w:r>
    </w:p>
    <w:p w14:paraId="12A1A931" w14:textId="77777777" w:rsidR="00E3316C" w:rsidRPr="00102618" w:rsidRDefault="00E3316C">
      <w:pPr>
        <w:spacing w:before="60" w:after="60"/>
        <w:rPr>
          <w:rFonts w:ascii="Garamond" w:hAnsi="Garamond"/>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40"/>
        <w:gridCol w:w="3120"/>
      </w:tblGrid>
      <w:tr w:rsidR="00E3316C" w:rsidRPr="00102618" w14:paraId="515B164F" w14:textId="77777777">
        <w:trPr>
          <w:tblHeader/>
        </w:trPr>
        <w:tc>
          <w:tcPr>
            <w:tcW w:w="624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5EE4712D" w14:textId="77777777" w:rsidR="00E3316C" w:rsidRPr="00102618" w:rsidRDefault="00000000">
            <w:pPr>
              <w:rPr>
                <w:rFonts w:ascii="Garamond" w:hAnsi="Garamond"/>
                <w:sz w:val="24"/>
                <w:szCs w:val="24"/>
              </w:rPr>
            </w:pPr>
            <w:r w:rsidRPr="00102618">
              <w:rPr>
                <w:rFonts w:ascii="Garamond" w:hAnsi="Garamond"/>
                <w:b/>
                <w:bCs/>
                <w:color w:val="FFFFFF"/>
                <w:sz w:val="24"/>
                <w:szCs w:val="24"/>
              </w:rPr>
              <w:t>Developmental Anchor</w:t>
            </w:r>
          </w:p>
        </w:tc>
        <w:tc>
          <w:tcPr>
            <w:tcW w:w="312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00" w:type="dxa"/>
              <w:bottom w:w="80" w:type="dxa"/>
              <w:right w:w="100" w:type="dxa"/>
            </w:tcMar>
          </w:tcPr>
          <w:p w14:paraId="7CD6A3E9" w14:textId="77777777" w:rsidR="00E3316C" w:rsidRPr="00102618" w:rsidRDefault="00000000">
            <w:pPr>
              <w:rPr>
                <w:rFonts w:ascii="Garamond" w:hAnsi="Garamond"/>
                <w:sz w:val="24"/>
                <w:szCs w:val="24"/>
              </w:rPr>
            </w:pPr>
            <w:r w:rsidRPr="00102618">
              <w:rPr>
                <w:rFonts w:ascii="Garamond" w:hAnsi="Garamond"/>
                <w:b/>
                <w:bCs/>
                <w:color w:val="FFFFFF"/>
                <w:sz w:val="24"/>
                <w:szCs w:val="24"/>
              </w:rPr>
              <w:t>Client Response</w:t>
            </w:r>
          </w:p>
        </w:tc>
      </w:tr>
      <w:tr w:rsidR="00E3316C" w:rsidRPr="00102618" w14:paraId="239F9781" w14:textId="77777777">
        <w:tc>
          <w:tcPr>
            <w:tcW w:w="6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E73A77F" w14:textId="77777777" w:rsidR="00E3316C" w:rsidRPr="00102618" w:rsidRDefault="00000000">
            <w:pPr>
              <w:rPr>
                <w:rFonts w:ascii="Garamond" w:hAnsi="Garamond"/>
                <w:sz w:val="24"/>
                <w:szCs w:val="24"/>
              </w:rPr>
            </w:pPr>
            <w:r w:rsidRPr="00102618">
              <w:rPr>
                <w:rFonts w:ascii="Garamond" w:hAnsi="Garamond"/>
                <w:sz w:val="24"/>
                <w:szCs w:val="24"/>
              </w:rPr>
              <w:t>How old were you?</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5ED81F7" w14:textId="77777777" w:rsidR="00E3316C" w:rsidRPr="00102618" w:rsidRDefault="00E3316C">
            <w:pPr>
              <w:rPr>
                <w:rFonts w:ascii="Garamond" w:hAnsi="Garamond"/>
                <w:sz w:val="24"/>
                <w:szCs w:val="24"/>
              </w:rPr>
            </w:pPr>
          </w:p>
        </w:tc>
      </w:tr>
      <w:tr w:rsidR="00E3316C" w:rsidRPr="00102618" w14:paraId="68E1518E" w14:textId="77777777">
        <w:tc>
          <w:tcPr>
            <w:tcW w:w="62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3C84013C" w14:textId="77777777" w:rsidR="00E3316C" w:rsidRPr="00102618" w:rsidRDefault="00000000">
            <w:pPr>
              <w:rPr>
                <w:rFonts w:ascii="Garamond" w:hAnsi="Garamond"/>
                <w:sz w:val="24"/>
                <w:szCs w:val="24"/>
              </w:rPr>
            </w:pPr>
            <w:r w:rsidRPr="00102618">
              <w:rPr>
                <w:rFonts w:ascii="Garamond" w:hAnsi="Garamond"/>
                <w:sz w:val="24"/>
                <w:szCs w:val="24"/>
              </w:rPr>
              <w:t>Were you in school? What grade?</w:t>
            </w:r>
          </w:p>
        </w:tc>
        <w:tc>
          <w:tcPr>
            <w:tcW w:w="31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2F303EAD" w14:textId="77777777" w:rsidR="00E3316C" w:rsidRPr="00102618" w:rsidRDefault="00E3316C">
            <w:pPr>
              <w:rPr>
                <w:rFonts w:ascii="Garamond" w:hAnsi="Garamond"/>
                <w:sz w:val="24"/>
                <w:szCs w:val="24"/>
              </w:rPr>
            </w:pPr>
          </w:p>
        </w:tc>
      </w:tr>
      <w:tr w:rsidR="00E3316C" w:rsidRPr="00102618" w14:paraId="31ED9838" w14:textId="77777777">
        <w:tc>
          <w:tcPr>
            <w:tcW w:w="6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702A534" w14:textId="77777777" w:rsidR="00E3316C" w:rsidRPr="00102618" w:rsidRDefault="00000000">
            <w:pPr>
              <w:rPr>
                <w:rFonts w:ascii="Garamond" w:hAnsi="Garamond"/>
                <w:sz w:val="24"/>
                <w:szCs w:val="24"/>
              </w:rPr>
            </w:pPr>
            <w:r w:rsidRPr="00102618">
              <w:rPr>
                <w:rFonts w:ascii="Garamond" w:hAnsi="Garamond"/>
                <w:sz w:val="24"/>
                <w:szCs w:val="24"/>
              </w:rPr>
              <w:t>Who were you living with?</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B8895F5" w14:textId="77777777" w:rsidR="00E3316C" w:rsidRPr="00102618" w:rsidRDefault="00E3316C">
            <w:pPr>
              <w:rPr>
                <w:rFonts w:ascii="Garamond" w:hAnsi="Garamond"/>
                <w:sz w:val="24"/>
                <w:szCs w:val="24"/>
              </w:rPr>
            </w:pPr>
          </w:p>
        </w:tc>
      </w:tr>
      <w:tr w:rsidR="00E3316C" w:rsidRPr="00102618" w14:paraId="4FD74F79" w14:textId="77777777">
        <w:tc>
          <w:tcPr>
            <w:tcW w:w="62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02F56960" w14:textId="77777777" w:rsidR="00E3316C" w:rsidRPr="00102618" w:rsidRDefault="00000000">
            <w:pPr>
              <w:rPr>
                <w:rFonts w:ascii="Garamond" w:hAnsi="Garamond"/>
                <w:sz w:val="24"/>
                <w:szCs w:val="24"/>
              </w:rPr>
            </w:pPr>
            <w:r w:rsidRPr="00102618">
              <w:rPr>
                <w:rFonts w:ascii="Garamond" w:hAnsi="Garamond"/>
                <w:sz w:val="24"/>
                <w:szCs w:val="24"/>
              </w:rPr>
              <w:t>Had there been a separation, move, or loss?</w:t>
            </w:r>
          </w:p>
        </w:tc>
        <w:tc>
          <w:tcPr>
            <w:tcW w:w="31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1BD830DD" w14:textId="77777777" w:rsidR="00E3316C" w:rsidRPr="00102618" w:rsidRDefault="00E3316C">
            <w:pPr>
              <w:rPr>
                <w:rFonts w:ascii="Garamond" w:hAnsi="Garamond"/>
                <w:sz w:val="24"/>
                <w:szCs w:val="24"/>
              </w:rPr>
            </w:pPr>
          </w:p>
        </w:tc>
      </w:tr>
      <w:tr w:rsidR="00E3316C" w:rsidRPr="00102618" w14:paraId="02792DF4" w14:textId="77777777">
        <w:tc>
          <w:tcPr>
            <w:tcW w:w="624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1210C6DA" w14:textId="77777777" w:rsidR="00E3316C" w:rsidRPr="00102618" w:rsidRDefault="00000000">
            <w:pPr>
              <w:rPr>
                <w:rFonts w:ascii="Garamond" w:hAnsi="Garamond"/>
                <w:sz w:val="24"/>
                <w:szCs w:val="24"/>
              </w:rPr>
            </w:pPr>
            <w:r w:rsidRPr="00102618">
              <w:rPr>
                <w:rFonts w:ascii="Garamond" w:hAnsi="Garamond"/>
                <w:sz w:val="24"/>
                <w:szCs w:val="24"/>
              </w:rPr>
              <w:t>What changed in your behavior, body, or daily life afterward?</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00" w:type="dxa"/>
              <w:bottom w:w="80" w:type="dxa"/>
              <w:right w:w="100" w:type="dxa"/>
            </w:tcMar>
          </w:tcPr>
          <w:p w14:paraId="28A95045" w14:textId="77777777" w:rsidR="00E3316C" w:rsidRPr="00102618" w:rsidRDefault="00E3316C">
            <w:pPr>
              <w:rPr>
                <w:rFonts w:ascii="Garamond" w:hAnsi="Garamond"/>
                <w:sz w:val="24"/>
                <w:szCs w:val="24"/>
              </w:rPr>
            </w:pPr>
          </w:p>
        </w:tc>
      </w:tr>
      <w:tr w:rsidR="00E3316C" w:rsidRPr="00102618" w14:paraId="3A0D93C3" w14:textId="77777777">
        <w:tc>
          <w:tcPr>
            <w:tcW w:w="624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7DE496AB" w14:textId="77777777" w:rsidR="00E3316C" w:rsidRPr="00102618" w:rsidRDefault="00000000">
            <w:pPr>
              <w:rPr>
                <w:rFonts w:ascii="Garamond" w:hAnsi="Garamond"/>
                <w:sz w:val="24"/>
                <w:szCs w:val="24"/>
              </w:rPr>
            </w:pPr>
            <w:r w:rsidRPr="00102618">
              <w:rPr>
                <w:rFonts w:ascii="Garamond" w:hAnsi="Garamond"/>
                <w:sz w:val="24"/>
                <w:szCs w:val="24"/>
              </w:rPr>
              <w:t>Do you remember this as a full event or more like pieces / snapshots?</w:t>
            </w:r>
          </w:p>
        </w:tc>
        <w:tc>
          <w:tcPr>
            <w:tcW w:w="3120" w:type="dxa"/>
            <w:tcBorders>
              <w:top w:val="single" w:sz="4" w:space="0" w:color="BFBFBF"/>
              <w:left w:val="single" w:sz="4" w:space="0" w:color="BFBFBF"/>
              <w:bottom w:val="single" w:sz="4" w:space="0" w:color="BFBFBF"/>
              <w:right w:val="single" w:sz="4" w:space="0" w:color="BFBFBF"/>
            </w:tcBorders>
            <w:shd w:val="clear" w:color="auto" w:fill="EAF3FB"/>
            <w:tcMar>
              <w:top w:w="80" w:type="dxa"/>
              <w:left w:w="100" w:type="dxa"/>
              <w:bottom w:w="80" w:type="dxa"/>
              <w:right w:w="100" w:type="dxa"/>
            </w:tcMar>
          </w:tcPr>
          <w:p w14:paraId="457524B2" w14:textId="77777777" w:rsidR="00E3316C" w:rsidRPr="00102618" w:rsidRDefault="00E3316C">
            <w:pPr>
              <w:rPr>
                <w:rFonts w:ascii="Garamond" w:hAnsi="Garamond"/>
                <w:sz w:val="24"/>
                <w:szCs w:val="24"/>
              </w:rPr>
            </w:pPr>
          </w:p>
        </w:tc>
      </w:tr>
    </w:tbl>
    <w:p w14:paraId="35EA642D" w14:textId="77777777" w:rsidR="00E3316C" w:rsidRPr="00102618" w:rsidRDefault="00E3316C">
      <w:pPr>
        <w:spacing w:before="60" w:after="60"/>
        <w:rPr>
          <w:rFonts w:ascii="Garamond" w:hAnsi="Garamond"/>
          <w:sz w:val="24"/>
          <w:szCs w:val="24"/>
        </w:rPr>
      </w:pPr>
    </w:p>
    <w:p w14:paraId="7C11DEFF" w14:textId="77777777" w:rsidR="00E3316C" w:rsidRPr="00102618" w:rsidRDefault="00000000">
      <w:pPr>
        <w:spacing w:after="120"/>
        <w:rPr>
          <w:rFonts w:ascii="Garamond" w:hAnsi="Garamond"/>
          <w:sz w:val="24"/>
          <w:szCs w:val="24"/>
        </w:rPr>
      </w:pPr>
      <w:r w:rsidRPr="00102618">
        <w:rPr>
          <w:rFonts w:ascii="Garamond" w:hAnsi="Garamond"/>
          <w:b/>
          <w:bCs/>
          <w:sz w:val="24"/>
          <w:szCs w:val="24"/>
        </w:rPr>
        <w:t xml:space="preserve">Practice caution.  </w:t>
      </w:r>
      <w:r w:rsidRPr="00102618">
        <w:rPr>
          <w:rFonts w:ascii="Garamond" w:hAnsi="Garamond"/>
          <w:sz w:val="24"/>
          <w:szCs w:val="24"/>
        </w:rPr>
        <w:t>Do not treat developmental fragmentation as proof of dishonesty or coaching.</w:t>
      </w:r>
    </w:p>
    <w:p w14:paraId="54A4D5DF" w14:textId="77777777" w:rsidR="00E3316C" w:rsidRPr="00102618" w:rsidRDefault="00E3316C">
      <w:pPr>
        <w:spacing w:before="60" w:after="60"/>
        <w:rPr>
          <w:rFonts w:ascii="Garamond" w:hAnsi="Garamond"/>
          <w:sz w:val="24"/>
          <w:szCs w:val="24"/>
        </w:rPr>
      </w:pPr>
    </w:p>
    <w:p w14:paraId="52ADA1CE" w14:textId="77777777" w:rsidR="00E3316C" w:rsidRPr="00B72171" w:rsidRDefault="00000000">
      <w:pPr>
        <w:pStyle w:val="Heading3"/>
        <w:rPr>
          <w:rFonts w:ascii="Garamond" w:hAnsi="Garamond"/>
          <w:color w:val="000000" w:themeColor="text1"/>
          <w:sz w:val="24"/>
          <w:szCs w:val="24"/>
        </w:rPr>
      </w:pPr>
      <w:proofErr w:type="gramStart"/>
      <w:r w:rsidRPr="00B72171">
        <w:rPr>
          <w:rFonts w:ascii="Garamond" w:hAnsi="Garamond"/>
          <w:color w:val="000000" w:themeColor="text1"/>
          <w:sz w:val="24"/>
          <w:szCs w:val="24"/>
        </w:rPr>
        <w:t>G.8  How</w:t>
      </w:r>
      <w:proofErr w:type="gramEnd"/>
      <w:r w:rsidRPr="00B72171">
        <w:rPr>
          <w:rFonts w:ascii="Garamond" w:hAnsi="Garamond"/>
          <w:color w:val="000000" w:themeColor="text1"/>
          <w:sz w:val="24"/>
          <w:szCs w:val="24"/>
        </w:rPr>
        <w:t xml:space="preserve"> to Introduce Visual Supports</w:t>
      </w:r>
    </w:p>
    <w:p w14:paraId="6A2534D9" w14:textId="77777777" w:rsidR="00E3316C" w:rsidRPr="00102618" w:rsidRDefault="00000000">
      <w:pPr>
        <w:spacing w:after="120"/>
        <w:rPr>
          <w:rFonts w:ascii="Garamond" w:hAnsi="Garamond"/>
          <w:sz w:val="24"/>
          <w:szCs w:val="24"/>
        </w:rPr>
      </w:pPr>
      <w:r w:rsidRPr="00102618">
        <w:rPr>
          <w:rFonts w:ascii="Garamond" w:hAnsi="Garamond"/>
          <w:b/>
          <w:bCs/>
          <w:sz w:val="24"/>
          <w:szCs w:val="24"/>
        </w:rPr>
        <w:t xml:space="preserve">Purpose.  </w:t>
      </w:r>
      <w:r w:rsidRPr="00102618">
        <w:rPr>
          <w:rFonts w:ascii="Garamond" w:hAnsi="Garamond"/>
          <w:sz w:val="24"/>
          <w:szCs w:val="24"/>
        </w:rPr>
        <w:t>To provide practitioners with language for offering visual tools without imposing them.</w:t>
      </w:r>
    </w:p>
    <w:p w14:paraId="306960F1" w14:textId="77777777" w:rsidR="00E3316C" w:rsidRPr="00102618" w:rsidRDefault="00E3316C">
      <w:pPr>
        <w:spacing w:before="60" w:after="60"/>
        <w:rPr>
          <w:rFonts w:ascii="Garamond" w:hAnsi="Garamond"/>
          <w:sz w:val="24"/>
          <w:szCs w:val="24"/>
        </w:rPr>
      </w:pPr>
    </w:p>
    <w:p w14:paraId="55B8DDE8" w14:textId="77777777" w:rsidR="00E3316C" w:rsidRPr="00102618" w:rsidRDefault="00000000">
      <w:pPr>
        <w:pStyle w:val="ListParagraph"/>
        <w:numPr>
          <w:ilvl w:val="0"/>
          <w:numId w:val="2"/>
        </w:numPr>
        <w:spacing w:after="60"/>
        <w:rPr>
          <w:rFonts w:ascii="Garamond" w:hAnsi="Garamond"/>
          <w:sz w:val="24"/>
          <w:szCs w:val="24"/>
        </w:rPr>
      </w:pPr>
      <w:r w:rsidRPr="00102618">
        <w:rPr>
          <w:rFonts w:ascii="Garamond" w:hAnsi="Garamond"/>
          <w:sz w:val="24"/>
          <w:szCs w:val="24"/>
        </w:rPr>
        <w:t>"We do not have to do this only by talking."</w:t>
      </w:r>
    </w:p>
    <w:p w14:paraId="3025FDC0" w14:textId="77777777" w:rsidR="00E3316C" w:rsidRPr="00102618" w:rsidRDefault="00000000">
      <w:pPr>
        <w:pStyle w:val="ListParagraph"/>
        <w:numPr>
          <w:ilvl w:val="0"/>
          <w:numId w:val="2"/>
        </w:numPr>
        <w:spacing w:after="60"/>
        <w:rPr>
          <w:rFonts w:ascii="Garamond" w:hAnsi="Garamond"/>
          <w:sz w:val="24"/>
          <w:szCs w:val="24"/>
        </w:rPr>
      </w:pPr>
      <w:r w:rsidRPr="00102618">
        <w:rPr>
          <w:rFonts w:ascii="Garamond" w:hAnsi="Garamond"/>
          <w:sz w:val="24"/>
          <w:szCs w:val="24"/>
        </w:rPr>
        <w:t>"Some people find it easier to map things out."</w:t>
      </w:r>
    </w:p>
    <w:p w14:paraId="3C847AE1" w14:textId="77777777" w:rsidR="00E3316C" w:rsidRPr="00102618" w:rsidRDefault="00000000">
      <w:pPr>
        <w:pStyle w:val="ListParagraph"/>
        <w:numPr>
          <w:ilvl w:val="0"/>
          <w:numId w:val="2"/>
        </w:numPr>
        <w:spacing w:after="60"/>
        <w:rPr>
          <w:rFonts w:ascii="Garamond" w:hAnsi="Garamond"/>
          <w:sz w:val="24"/>
          <w:szCs w:val="24"/>
        </w:rPr>
      </w:pPr>
      <w:r w:rsidRPr="00102618">
        <w:rPr>
          <w:rFonts w:ascii="Garamond" w:hAnsi="Garamond"/>
          <w:sz w:val="24"/>
          <w:szCs w:val="24"/>
        </w:rPr>
        <w:t>"You can point, circle, or write only a few words."</w:t>
      </w:r>
    </w:p>
    <w:p w14:paraId="416AD232" w14:textId="77777777" w:rsidR="00E3316C" w:rsidRPr="00102618" w:rsidRDefault="00000000">
      <w:pPr>
        <w:pStyle w:val="ListParagraph"/>
        <w:numPr>
          <w:ilvl w:val="0"/>
          <w:numId w:val="2"/>
        </w:numPr>
        <w:spacing w:after="60"/>
        <w:rPr>
          <w:rFonts w:ascii="Garamond" w:hAnsi="Garamond"/>
          <w:sz w:val="24"/>
          <w:szCs w:val="24"/>
        </w:rPr>
      </w:pPr>
      <w:r w:rsidRPr="00102618">
        <w:rPr>
          <w:rFonts w:ascii="Garamond" w:hAnsi="Garamond"/>
          <w:sz w:val="24"/>
          <w:szCs w:val="24"/>
        </w:rPr>
        <w:t>"We are not testing your memory."</w:t>
      </w:r>
    </w:p>
    <w:p w14:paraId="3A0E9471" w14:textId="77777777" w:rsidR="00E3316C" w:rsidRPr="00102618" w:rsidRDefault="00000000">
      <w:pPr>
        <w:pStyle w:val="ListParagraph"/>
        <w:numPr>
          <w:ilvl w:val="0"/>
          <w:numId w:val="2"/>
        </w:numPr>
        <w:spacing w:after="60"/>
        <w:rPr>
          <w:rFonts w:ascii="Garamond" w:hAnsi="Garamond"/>
          <w:sz w:val="24"/>
          <w:szCs w:val="24"/>
        </w:rPr>
      </w:pPr>
      <w:r w:rsidRPr="00102618">
        <w:rPr>
          <w:rFonts w:ascii="Garamond" w:hAnsi="Garamond"/>
          <w:sz w:val="24"/>
          <w:szCs w:val="24"/>
        </w:rPr>
        <w:t>"We are just trying to organize what feels clear, what feels unclear, and what we may return to later."</w:t>
      </w:r>
    </w:p>
    <w:p w14:paraId="5C618971" w14:textId="384C546B" w:rsidR="00102618" w:rsidRDefault="00102618">
      <w:pPr>
        <w:rPr>
          <w:rFonts w:ascii="Garamond" w:hAnsi="Garamond"/>
          <w:sz w:val="24"/>
          <w:szCs w:val="24"/>
        </w:rPr>
      </w:pPr>
      <w:r>
        <w:rPr>
          <w:rFonts w:ascii="Garamond" w:hAnsi="Garamond"/>
          <w:sz w:val="24"/>
          <w:szCs w:val="24"/>
        </w:rPr>
        <w:br w:type="page"/>
      </w:r>
    </w:p>
    <w:p w14:paraId="24E29E73" w14:textId="77777777" w:rsidR="00E3316C" w:rsidRPr="00B72171" w:rsidRDefault="00000000">
      <w:pPr>
        <w:pStyle w:val="Heading3"/>
        <w:rPr>
          <w:rFonts w:ascii="Garamond" w:hAnsi="Garamond"/>
          <w:color w:val="000000" w:themeColor="text1"/>
          <w:sz w:val="24"/>
          <w:szCs w:val="24"/>
        </w:rPr>
      </w:pPr>
      <w:proofErr w:type="gramStart"/>
      <w:r w:rsidRPr="00B72171">
        <w:rPr>
          <w:rFonts w:ascii="Garamond" w:hAnsi="Garamond"/>
          <w:color w:val="000000" w:themeColor="text1"/>
          <w:sz w:val="24"/>
          <w:szCs w:val="24"/>
        </w:rPr>
        <w:lastRenderedPageBreak/>
        <w:t>G.9  Documentation</w:t>
      </w:r>
      <w:proofErr w:type="gramEnd"/>
      <w:r w:rsidRPr="00B72171">
        <w:rPr>
          <w:rFonts w:ascii="Garamond" w:hAnsi="Garamond"/>
          <w:color w:val="000000" w:themeColor="text1"/>
          <w:sz w:val="24"/>
          <w:szCs w:val="24"/>
        </w:rPr>
        <w:t xml:space="preserve"> Reminder</w:t>
      </w:r>
    </w:p>
    <w:p w14:paraId="24E578EC" w14:textId="77777777" w:rsidR="00E3316C" w:rsidRPr="00B72171" w:rsidRDefault="00000000">
      <w:pPr>
        <w:spacing w:after="120"/>
        <w:rPr>
          <w:rFonts w:ascii="Garamond" w:hAnsi="Garamond"/>
          <w:color w:val="000000" w:themeColor="text1"/>
          <w:sz w:val="24"/>
          <w:szCs w:val="24"/>
        </w:rPr>
      </w:pPr>
      <w:r w:rsidRPr="00B72171">
        <w:rPr>
          <w:rFonts w:ascii="Garamond" w:hAnsi="Garamond"/>
          <w:b/>
          <w:bCs/>
          <w:color w:val="000000" w:themeColor="text1"/>
          <w:sz w:val="24"/>
          <w:szCs w:val="24"/>
        </w:rPr>
        <w:t xml:space="preserve">Purpose.  </w:t>
      </w:r>
      <w:r w:rsidRPr="00B72171">
        <w:rPr>
          <w:rFonts w:ascii="Garamond" w:hAnsi="Garamond"/>
          <w:color w:val="000000" w:themeColor="text1"/>
          <w:sz w:val="24"/>
          <w:szCs w:val="24"/>
        </w:rPr>
        <w:t>To prompt practitioners to record how visual tools were used and what they produced.</w:t>
      </w:r>
    </w:p>
    <w:p w14:paraId="125CB2BB" w14:textId="77777777" w:rsidR="00E3316C" w:rsidRPr="00B72171" w:rsidRDefault="00E3316C">
      <w:pPr>
        <w:spacing w:before="60" w:after="60"/>
        <w:rPr>
          <w:rFonts w:ascii="Garamond" w:hAnsi="Garamond"/>
          <w:color w:val="000000" w:themeColor="text1"/>
          <w:sz w:val="24"/>
          <w:szCs w:val="24"/>
        </w:rPr>
      </w:pPr>
    </w:p>
    <w:p w14:paraId="09415DDE" w14:textId="77777777" w:rsidR="00E3316C" w:rsidRPr="00B72171" w:rsidRDefault="00000000">
      <w:pPr>
        <w:spacing w:after="120"/>
        <w:rPr>
          <w:rFonts w:ascii="Garamond" w:hAnsi="Garamond"/>
          <w:color w:val="000000" w:themeColor="text1"/>
          <w:sz w:val="24"/>
          <w:szCs w:val="24"/>
        </w:rPr>
      </w:pPr>
      <w:r w:rsidRPr="00B72171">
        <w:rPr>
          <w:rFonts w:ascii="Garamond" w:hAnsi="Garamond"/>
          <w:color w:val="000000" w:themeColor="text1"/>
          <w:sz w:val="24"/>
          <w:szCs w:val="24"/>
        </w:rPr>
        <w:t>After using any visual support, note in the case file:</w:t>
      </w:r>
    </w:p>
    <w:p w14:paraId="2BBACE63" w14:textId="77777777" w:rsidR="00E3316C" w:rsidRPr="00B72171" w:rsidRDefault="00000000">
      <w:pPr>
        <w:spacing w:after="60"/>
        <w:ind w:left="360" w:hanging="360"/>
        <w:rPr>
          <w:rFonts w:ascii="Garamond" w:hAnsi="Garamond"/>
          <w:color w:val="000000" w:themeColor="text1"/>
          <w:sz w:val="24"/>
          <w:szCs w:val="24"/>
        </w:rPr>
      </w:pPr>
      <w:proofErr w:type="gramStart"/>
      <w:r w:rsidRPr="00B72171">
        <w:rPr>
          <w:rFonts w:ascii="Segoe UI Symbol" w:hAnsi="Segoe UI Symbol" w:cs="Segoe UI Symbol"/>
          <w:color w:val="000000" w:themeColor="text1"/>
          <w:sz w:val="24"/>
          <w:szCs w:val="24"/>
        </w:rPr>
        <w:t>☐</w:t>
      </w:r>
      <w:r w:rsidRPr="00B72171">
        <w:rPr>
          <w:rFonts w:ascii="Garamond" w:hAnsi="Garamond"/>
          <w:color w:val="000000" w:themeColor="text1"/>
          <w:sz w:val="24"/>
          <w:szCs w:val="24"/>
        </w:rPr>
        <w:t xml:space="preserve">  Which</w:t>
      </w:r>
      <w:proofErr w:type="gramEnd"/>
      <w:r w:rsidRPr="00B72171">
        <w:rPr>
          <w:rFonts w:ascii="Garamond" w:hAnsi="Garamond"/>
          <w:color w:val="000000" w:themeColor="text1"/>
          <w:sz w:val="24"/>
          <w:szCs w:val="24"/>
        </w:rPr>
        <w:t xml:space="preserve"> tool was used.</w:t>
      </w:r>
    </w:p>
    <w:p w14:paraId="388C8368" w14:textId="77777777" w:rsidR="00E3316C" w:rsidRPr="00B72171" w:rsidRDefault="00000000">
      <w:pPr>
        <w:spacing w:after="60"/>
        <w:ind w:left="360" w:hanging="360"/>
        <w:rPr>
          <w:rFonts w:ascii="Garamond" w:hAnsi="Garamond"/>
          <w:color w:val="000000" w:themeColor="text1"/>
          <w:sz w:val="24"/>
          <w:szCs w:val="24"/>
        </w:rPr>
      </w:pPr>
      <w:proofErr w:type="gramStart"/>
      <w:r w:rsidRPr="00B72171">
        <w:rPr>
          <w:rFonts w:ascii="Segoe UI Symbol" w:hAnsi="Segoe UI Symbol" w:cs="Segoe UI Symbol"/>
          <w:color w:val="000000" w:themeColor="text1"/>
          <w:sz w:val="24"/>
          <w:szCs w:val="24"/>
        </w:rPr>
        <w:t>☐</w:t>
      </w:r>
      <w:r w:rsidRPr="00B72171">
        <w:rPr>
          <w:rFonts w:ascii="Garamond" w:hAnsi="Garamond"/>
          <w:color w:val="000000" w:themeColor="text1"/>
          <w:sz w:val="24"/>
          <w:szCs w:val="24"/>
        </w:rPr>
        <w:t xml:space="preserve">  Whether</w:t>
      </w:r>
      <w:proofErr w:type="gramEnd"/>
      <w:r w:rsidRPr="00B72171">
        <w:rPr>
          <w:rFonts w:ascii="Garamond" w:hAnsi="Garamond"/>
          <w:color w:val="000000" w:themeColor="text1"/>
          <w:sz w:val="24"/>
          <w:szCs w:val="24"/>
        </w:rPr>
        <w:t xml:space="preserve"> the client responded better to visual anchoring than open verbal recall.</w:t>
      </w:r>
    </w:p>
    <w:p w14:paraId="019A05A6" w14:textId="77777777" w:rsidR="00E3316C" w:rsidRPr="00B72171" w:rsidRDefault="00000000">
      <w:pPr>
        <w:spacing w:after="60"/>
        <w:ind w:left="360" w:hanging="360"/>
        <w:rPr>
          <w:rFonts w:ascii="Garamond" w:hAnsi="Garamond"/>
          <w:color w:val="000000" w:themeColor="text1"/>
          <w:sz w:val="24"/>
          <w:szCs w:val="24"/>
        </w:rPr>
      </w:pPr>
      <w:proofErr w:type="gramStart"/>
      <w:r w:rsidRPr="00B72171">
        <w:rPr>
          <w:rFonts w:ascii="Segoe UI Symbol" w:hAnsi="Segoe UI Symbol" w:cs="Segoe UI Symbol"/>
          <w:color w:val="000000" w:themeColor="text1"/>
          <w:sz w:val="24"/>
          <w:szCs w:val="24"/>
        </w:rPr>
        <w:t>☐</w:t>
      </w:r>
      <w:r w:rsidRPr="00B72171">
        <w:rPr>
          <w:rFonts w:ascii="Garamond" w:hAnsi="Garamond"/>
          <w:color w:val="000000" w:themeColor="text1"/>
          <w:sz w:val="24"/>
          <w:szCs w:val="24"/>
        </w:rPr>
        <w:t xml:space="preserve">  What</w:t>
      </w:r>
      <w:proofErr w:type="gramEnd"/>
      <w:r w:rsidRPr="00B72171">
        <w:rPr>
          <w:rFonts w:ascii="Garamond" w:hAnsi="Garamond"/>
          <w:color w:val="000000" w:themeColor="text1"/>
          <w:sz w:val="24"/>
          <w:szCs w:val="24"/>
        </w:rPr>
        <w:t xml:space="preserve"> remained unclear.</w:t>
      </w:r>
    </w:p>
    <w:p w14:paraId="0CD7751E" w14:textId="77777777" w:rsidR="00E3316C" w:rsidRPr="00B72171" w:rsidRDefault="00000000">
      <w:pPr>
        <w:spacing w:after="60"/>
        <w:ind w:left="360" w:hanging="360"/>
        <w:rPr>
          <w:rFonts w:ascii="Garamond" w:hAnsi="Garamond"/>
          <w:color w:val="000000" w:themeColor="text1"/>
          <w:sz w:val="24"/>
          <w:szCs w:val="24"/>
        </w:rPr>
      </w:pPr>
      <w:proofErr w:type="gramStart"/>
      <w:r w:rsidRPr="00B72171">
        <w:rPr>
          <w:rFonts w:ascii="Segoe UI Symbol" w:hAnsi="Segoe UI Symbol" w:cs="Segoe UI Symbol"/>
          <w:color w:val="000000" w:themeColor="text1"/>
          <w:sz w:val="24"/>
          <w:szCs w:val="24"/>
        </w:rPr>
        <w:t>☐</w:t>
      </w:r>
      <w:r w:rsidRPr="00B72171">
        <w:rPr>
          <w:rFonts w:ascii="Garamond" w:hAnsi="Garamond"/>
          <w:color w:val="000000" w:themeColor="text1"/>
          <w:sz w:val="24"/>
          <w:szCs w:val="24"/>
        </w:rPr>
        <w:t xml:space="preserve">  What</w:t>
      </w:r>
      <w:proofErr w:type="gramEnd"/>
      <w:r w:rsidRPr="00B72171">
        <w:rPr>
          <w:rFonts w:ascii="Garamond" w:hAnsi="Garamond"/>
          <w:color w:val="000000" w:themeColor="text1"/>
          <w:sz w:val="24"/>
          <w:szCs w:val="24"/>
        </w:rPr>
        <w:t xml:space="preserve"> should be revisited later.</w:t>
      </w:r>
    </w:p>
    <w:p w14:paraId="40B4C223" w14:textId="77777777" w:rsidR="00E3316C" w:rsidRPr="00B72171" w:rsidRDefault="00000000">
      <w:pPr>
        <w:spacing w:after="60"/>
        <w:ind w:left="360" w:hanging="360"/>
        <w:rPr>
          <w:rFonts w:ascii="Garamond" w:hAnsi="Garamond"/>
          <w:color w:val="000000" w:themeColor="text1"/>
          <w:sz w:val="24"/>
          <w:szCs w:val="24"/>
        </w:rPr>
      </w:pPr>
      <w:proofErr w:type="gramStart"/>
      <w:r w:rsidRPr="00B72171">
        <w:rPr>
          <w:rFonts w:ascii="Segoe UI Symbol" w:hAnsi="Segoe UI Symbol" w:cs="Segoe UI Symbol"/>
          <w:color w:val="000000" w:themeColor="text1"/>
          <w:sz w:val="24"/>
          <w:szCs w:val="24"/>
        </w:rPr>
        <w:t>☐</w:t>
      </w:r>
      <w:r w:rsidRPr="00B72171">
        <w:rPr>
          <w:rFonts w:ascii="Garamond" w:hAnsi="Garamond"/>
          <w:color w:val="000000" w:themeColor="text1"/>
          <w:sz w:val="24"/>
          <w:szCs w:val="24"/>
        </w:rPr>
        <w:t xml:space="preserve">  Whether</w:t>
      </w:r>
      <w:proofErr w:type="gramEnd"/>
      <w:r w:rsidRPr="00B72171">
        <w:rPr>
          <w:rFonts w:ascii="Garamond" w:hAnsi="Garamond"/>
          <w:color w:val="000000" w:themeColor="text1"/>
          <w:sz w:val="24"/>
          <w:szCs w:val="24"/>
        </w:rPr>
        <w:t xml:space="preserve"> the tool reduced distress, improved sequence, clarified actors, or strengthened nexus understanding.</w:t>
      </w:r>
    </w:p>
    <w:p w14:paraId="71888D92" w14:textId="77777777" w:rsidR="00E3316C" w:rsidRPr="00B72171" w:rsidRDefault="00E3316C">
      <w:pPr>
        <w:spacing w:before="60" w:after="60"/>
        <w:rPr>
          <w:rFonts w:ascii="Garamond" w:hAnsi="Garamond"/>
          <w:color w:val="000000" w:themeColor="text1"/>
          <w:sz w:val="24"/>
          <w:szCs w:val="24"/>
        </w:rPr>
      </w:pPr>
    </w:p>
    <w:p w14:paraId="1EABFBE6" w14:textId="77777777" w:rsidR="00E3316C" w:rsidRPr="00B72171" w:rsidRDefault="00000000">
      <w:pPr>
        <w:pStyle w:val="Heading3"/>
        <w:rPr>
          <w:rFonts w:ascii="Garamond" w:hAnsi="Garamond"/>
          <w:color w:val="000000" w:themeColor="text1"/>
          <w:sz w:val="24"/>
          <w:szCs w:val="24"/>
        </w:rPr>
      </w:pPr>
      <w:proofErr w:type="gramStart"/>
      <w:r w:rsidRPr="00B72171">
        <w:rPr>
          <w:rFonts w:ascii="Garamond" w:hAnsi="Garamond"/>
          <w:color w:val="000000" w:themeColor="text1"/>
          <w:sz w:val="24"/>
          <w:szCs w:val="24"/>
        </w:rPr>
        <w:t>G.10  Caution</w:t>
      </w:r>
      <w:proofErr w:type="gram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3316C" w:rsidRPr="00102618" w14:paraId="4F3167D6" w14:textId="77777777">
        <w:tc>
          <w:tcPr>
            <w:tcW w:w="9360" w:type="dxa"/>
            <w:tcBorders>
              <w:top w:val="single" w:sz="8" w:space="0" w:color="C49A00"/>
              <w:left w:val="single" w:sz="8" w:space="0" w:color="C49A00"/>
              <w:bottom w:val="single" w:sz="8" w:space="0" w:color="C49A00"/>
              <w:right w:val="single" w:sz="8" w:space="0" w:color="C49A00"/>
            </w:tcBorders>
            <w:shd w:val="clear" w:color="auto" w:fill="FFF2CC"/>
            <w:tcMar>
              <w:top w:w="120" w:type="dxa"/>
              <w:left w:w="160" w:type="dxa"/>
              <w:bottom w:w="120" w:type="dxa"/>
              <w:right w:w="160" w:type="dxa"/>
            </w:tcMar>
          </w:tcPr>
          <w:p w14:paraId="46EB6292" w14:textId="77777777" w:rsidR="00E3316C" w:rsidRPr="00102618" w:rsidRDefault="00000000">
            <w:pPr>
              <w:spacing w:after="120"/>
              <w:rPr>
                <w:rFonts w:ascii="Garamond" w:hAnsi="Garamond"/>
                <w:sz w:val="24"/>
                <w:szCs w:val="24"/>
              </w:rPr>
            </w:pPr>
            <w:proofErr w:type="gramStart"/>
            <w:r w:rsidRPr="00102618">
              <w:rPr>
                <w:rFonts w:ascii="Apple Color Emoji" w:hAnsi="Apple Color Emoji" w:cs="Apple Color Emoji"/>
                <w:b/>
                <w:bCs/>
                <w:sz w:val="24"/>
                <w:szCs w:val="24"/>
              </w:rPr>
              <w:t>⚠</w:t>
            </w:r>
            <w:r w:rsidRPr="00102618">
              <w:rPr>
                <w:rFonts w:ascii="Garamond" w:hAnsi="Garamond"/>
                <w:b/>
                <w:bCs/>
                <w:sz w:val="24"/>
                <w:szCs w:val="24"/>
              </w:rPr>
              <w:t xml:space="preserve">  STOP</w:t>
            </w:r>
            <w:proofErr w:type="gramEnd"/>
            <w:r w:rsidRPr="00102618">
              <w:rPr>
                <w:rFonts w:ascii="Garamond" w:hAnsi="Garamond"/>
                <w:b/>
                <w:bCs/>
                <w:sz w:val="24"/>
                <w:szCs w:val="24"/>
              </w:rPr>
              <w:t xml:space="preserve"> RULE.  </w:t>
            </w:r>
            <w:r w:rsidRPr="00102618">
              <w:rPr>
                <w:rFonts w:ascii="Garamond" w:hAnsi="Garamond"/>
                <w:sz w:val="24"/>
                <w:szCs w:val="24"/>
              </w:rPr>
              <w:t xml:space="preserve">These tools must not be used to pressure disclosure, force coherence, or make the client "perform" a clearer story than they can safely give. They are meant to support pacing, organization, client voice, safer recall, and clearer documentation. Their use should always remain optional, gentle, and </w:t>
            </w:r>
            <w:proofErr w:type="gramStart"/>
            <w:r w:rsidRPr="00102618">
              <w:rPr>
                <w:rFonts w:ascii="Garamond" w:hAnsi="Garamond"/>
                <w:sz w:val="24"/>
                <w:szCs w:val="24"/>
              </w:rPr>
              <w:t>client-led</w:t>
            </w:r>
            <w:proofErr w:type="gramEnd"/>
            <w:r w:rsidRPr="00102618">
              <w:rPr>
                <w:rFonts w:ascii="Garamond" w:hAnsi="Garamond"/>
                <w:sz w:val="24"/>
                <w:szCs w:val="24"/>
              </w:rPr>
              <w:t>.</w:t>
            </w:r>
          </w:p>
        </w:tc>
      </w:tr>
    </w:tbl>
    <w:p w14:paraId="35694CB1" w14:textId="77777777" w:rsidR="00E3316C" w:rsidRPr="00102618" w:rsidRDefault="00000000">
      <w:pPr>
        <w:rPr>
          <w:rFonts w:ascii="Garamond" w:hAnsi="Garamond"/>
          <w:sz w:val="24"/>
          <w:szCs w:val="24"/>
        </w:rPr>
      </w:pPr>
      <w:r w:rsidRPr="00102618">
        <w:rPr>
          <w:rFonts w:ascii="Garamond" w:hAnsi="Garamond"/>
          <w:sz w:val="24"/>
          <w:szCs w:val="24"/>
        </w:rPr>
        <w:br w:type="page"/>
      </w:r>
    </w:p>
    <w:p w14:paraId="23AFF4E0" w14:textId="77777777" w:rsidR="00E3316C" w:rsidRPr="00102618" w:rsidRDefault="00000000">
      <w:pPr>
        <w:pStyle w:val="Heading2"/>
        <w:pBdr>
          <w:bottom w:val="single" w:sz="6" w:space="1" w:color="2E75B6"/>
        </w:pBdr>
        <w:rPr>
          <w:rFonts w:ascii="Garamond" w:hAnsi="Garamond"/>
          <w:sz w:val="24"/>
          <w:szCs w:val="24"/>
        </w:rPr>
      </w:pPr>
      <w:r w:rsidRPr="00102618">
        <w:rPr>
          <w:rFonts w:ascii="Garamond" w:hAnsi="Garamond"/>
          <w:sz w:val="24"/>
          <w:szCs w:val="24"/>
        </w:rPr>
        <w:lastRenderedPageBreak/>
        <w:t>References</w:t>
      </w:r>
    </w:p>
    <w:p w14:paraId="3051EF4C" w14:textId="77777777" w:rsidR="00E3316C" w:rsidRPr="00102618" w:rsidRDefault="00E3316C">
      <w:pPr>
        <w:spacing w:before="60" w:after="60"/>
        <w:rPr>
          <w:rFonts w:ascii="Garamond" w:hAnsi="Garamond"/>
          <w:sz w:val="24"/>
          <w:szCs w:val="24"/>
        </w:rPr>
      </w:pPr>
    </w:p>
    <w:p w14:paraId="363F260A" w14:textId="665F0C5F" w:rsidR="001A4474" w:rsidRPr="001A4474" w:rsidRDefault="00000000" w:rsidP="001A4474">
      <w:pPr>
        <w:spacing w:after="100"/>
        <w:ind w:left="720" w:hanging="720"/>
        <w:rPr>
          <w:rFonts w:ascii="Garamond" w:hAnsi="Garamond"/>
        </w:rPr>
      </w:pPr>
      <w:r w:rsidRPr="00102618">
        <w:rPr>
          <w:rFonts w:ascii="Garamond" w:hAnsi="Garamond"/>
          <w:sz w:val="24"/>
          <w:szCs w:val="24"/>
        </w:rPr>
        <w:t xml:space="preserve">American </w:t>
      </w:r>
      <w:r w:rsidR="001A4474" w:rsidRPr="001A4474">
        <w:rPr>
          <w:rFonts w:ascii="Garamond" w:hAnsi="Garamond"/>
        </w:rPr>
        <w:t>Bar Association Commission on Immigration, &amp; HIAS. (2022, February 3). </w:t>
      </w:r>
      <w:r w:rsidR="001A4474" w:rsidRPr="001A4474">
        <w:rPr>
          <w:rFonts w:ascii="Garamond" w:hAnsi="Garamond"/>
          <w:i/>
          <w:iCs/>
        </w:rPr>
        <w:t>Asylum toolkit for pro bono attorneys representing pro se Afghan applicants</w:t>
      </w:r>
      <w:r w:rsidR="001A4474" w:rsidRPr="001A4474">
        <w:rPr>
          <w:rFonts w:ascii="Garamond" w:hAnsi="Garamond"/>
        </w:rPr>
        <w:t> [Toolkit]. </w:t>
      </w:r>
      <w:hyperlink r:id="rId9" w:tgtFrame="_new" w:history="1">
        <w:r w:rsidR="001A4474" w:rsidRPr="001A4474">
          <w:rPr>
            <w:rStyle w:val="Hyperlink"/>
            <w:rFonts w:ascii="Garamond" w:hAnsi="Garamond"/>
          </w:rPr>
          <w:t>https://resources.humanrightsfirst.org/wp-content/uploads/2022/07/ABA-HIAS-Asylum-Toolkit-February-2022.pdf</w:t>
        </w:r>
      </w:hyperlink>
    </w:p>
    <w:p w14:paraId="2FA32633" w14:textId="77777777" w:rsidR="001A4474" w:rsidRPr="001A4474" w:rsidRDefault="001A4474" w:rsidP="001A4474">
      <w:pPr>
        <w:spacing w:after="100"/>
        <w:ind w:left="720" w:hanging="720"/>
        <w:rPr>
          <w:rFonts w:ascii="Garamond" w:hAnsi="Garamond"/>
          <w:sz w:val="24"/>
          <w:szCs w:val="24"/>
        </w:rPr>
      </w:pPr>
      <w:r w:rsidRPr="001A4474">
        <w:rPr>
          <w:rFonts w:ascii="Garamond" w:hAnsi="Garamond"/>
          <w:sz w:val="24"/>
          <w:szCs w:val="24"/>
        </w:rPr>
        <w:t>Ardalan, S. (2015). Access to justice for asylum seekers: Developing an effective model of holistic asylum representation. </w:t>
      </w:r>
      <w:r w:rsidRPr="001A4474">
        <w:rPr>
          <w:rFonts w:ascii="Garamond" w:hAnsi="Garamond"/>
          <w:i/>
          <w:iCs/>
          <w:sz w:val="24"/>
          <w:szCs w:val="24"/>
        </w:rPr>
        <w:t>University of Michigan Journal of Law Reform, 48</w:t>
      </w:r>
      <w:r w:rsidRPr="001A4474">
        <w:rPr>
          <w:rFonts w:ascii="Garamond" w:hAnsi="Garamond"/>
          <w:sz w:val="24"/>
          <w:szCs w:val="24"/>
        </w:rPr>
        <w:t>(4), 1001–1038. </w:t>
      </w:r>
      <w:hyperlink r:id="rId10" w:tgtFrame="_new" w:history="1">
        <w:r w:rsidRPr="001A4474">
          <w:rPr>
            <w:rStyle w:val="Hyperlink"/>
            <w:rFonts w:ascii="Garamond" w:hAnsi="Garamond"/>
            <w:sz w:val="24"/>
            <w:szCs w:val="24"/>
          </w:rPr>
          <w:t>https://doi.org/10.36646/mjlr.48.4.access</w:t>
        </w:r>
      </w:hyperlink>
    </w:p>
    <w:p w14:paraId="20FD40D4" w14:textId="77777777" w:rsidR="001A4474" w:rsidRPr="001A4474" w:rsidRDefault="001A4474" w:rsidP="001A4474">
      <w:pPr>
        <w:spacing w:after="100"/>
        <w:ind w:left="720" w:hanging="720"/>
        <w:rPr>
          <w:rFonts w:ascii="Garamond" w:hAnsi="Garamond"/>
          <w:sz w:val="24"/>
          <w:szCs w:val="24"/>
        </w:rPr>
      </w:pPr>
      <w:r w:rsidRPr="001A4474">
        <w:rPr>
          <w:rFonts w:ascii="Garamond" w:hAnsi="Garamond"/>
          <w:sz w:val="24"/>
          <w:szCs w:val="24"/>
        </w:rPr>
        <w:t>Asylum Access. (2020, March). </w:t>
      </w:r>
      <w:r w:rsidRPr="001A4474">
        <w:rPr>
          <w:rFonts w:ascii="Garamond" w:hAnsi="Garamond"/>
          <w:i/>
          <w:iCs/>
          <w:sz w:val="24"/>
          <w:szCs w:val="24"/>
        </w:rPr>
        <w:t>Refugee rights toolkit: A leader’s guide to making refugee rights a reality</w:t>
      </w:r>
      <w:r w:rsidRPr="001A4474">
        <w:rPr>
          <w:rFonts w:ascii="Garamond" w:hAnsi="Garamond"/>
          <w:sz w:val="24"/>
          <w:szCs w:val="24"/>
        </w:rPr>
        <w:t> (Working version). </w:t>
      </w:r>
      <w:hyperlink r:id="rId11" w:tgtFrame="_new" w:history="1">
        <w:r w:rsidRPr="001A4474">
          <w:rPr>
            <w:rStyle w:val="Hyperlink"/>
            <w:rFonts w:ascii="Garamond" w:hAnsi="Garamond"/>
            <w:sz w:val="24"/>
            <w:szCs w:val="24"/>
          </w:rPr>
          <w:t>https://asylumaccess.org/wp-content/uploads/2023/03/Asylum-Access-Refugee-Rights-Toolkit-March-2020.pdf</w:t>
        </w:r>
      </w:hyperlink>
    </w:p>
    <w:p w14:paraId="2EACD7BD" w14:textId="77777777" w:rsidR="001A4474" w:rsidRPr="001A4474" w:rsidRDefault="001A4474" w:rsidP="001A4474">
      <w:pPr>
        <w:spacing w:after="100"/>
        <w:ind w:left="720" w:hanging="720"/>
        <w:rPr>
          <w:rFonts w:ascii="Garamond" w:hAnsi="Garamond"/>
          <w:sz w:val="24"/>
          <w:szCs w:val="24"/>
        </w:rPr>
      </w:pPr>
      <w:r w:rsidRPr="001A4474">
        <w:rPr>
          <w:rFonts w:ascii="Garamond" w:hAnsi="Garamond"/>
          <w:sz w:val="24"/>
          <w:szCs w:val="24"/>
        </w:rPr>
        <w:t>Bekteshi, V., &amp; Kang, S.-W. (2020). Contextualizing acculturative stress among Latino immigrants in the United States: A systematic review. </w:t>
      </w:r>
      <w:r w:rsidRPr="001A4474">
        <w:rPr>
          <w:rFonts w:ascii="Garamond" w:hAnsi="Garamond"/>
          <w:i/>
          <w:iCs/>
          <w:sz w:val="24"/>
          <w:szCs w:val="24"/>
        </w:rPr>
        <w:t>Ethnicity &amp; Health, 25</w:t>
      </w:r>
      <w:r w:rsidRPr="001A4474">
        <w:rPr>
          <w:rFonts w:ascii="Garamond" w:hAnsi="Garamond"/>
          <w:sz w:val="24"/>
          <w:szCs w:val="24"/>
        </w:rPr>
        <w:t>(6), 897–914. </w:t>
      </w:r>
      <w:hyperlink r:id="rId12" w:tgtFrame="_new" w:history="1">
        <w:r w:rsidRPr="001A4474">
          <w:rPr>
            <w:rStyle w:val="Hyperlink"/>
            <w:rFonts w:ascii="Garamond" w:hAnsi="Garamond"/>
            <w:sz w:val="24"/>
            <w:szCs w:val="24"/>
          </w:rPr>
          <w:t>https://doi.org/10.1080/13557858.2018.1469733</w:t>
        </w:r>
      </w:hyperlink>
    </w:p>
    <w:p w14:paraId="37DD3584" w14:textId="77777777" w:rsidR="001A4474" w:rsidRPr="001A4474" w:rsidRDefault="001A4474" w:rsidP="001A4474">
      <w:pPr>
        <w:spacing w:after="100"/>
        <w:ind w:left="720" w:hanging="720"/>
        <w:rPr>
          <w:rFonts w:ascii="Garamond" w:hAnsi="Garamond"/>
          <w:sz w:val="24"/>
          <w:szCs w:val="24"/>
        </w:rPr>
      </w:pPr>
      <w:r w:rsidRPr="001A4474">
        <w:rPr>
          <w:rFonts w:ascii="Garamond" w:hAnsi="Garamond"/>
          <w:sz w:val="24"/>
          <w:szCs w:val="24"/>
        </w:rPr>
        <w:t>Berry, J. W. (1997). Immigration, acculturation, and adaptation. </w:t>
      </w:r>
      <w:r w:rsidRPr="001A4474">
        <w:rPr>
          <w:rFonts w:ascii="Garamond" w:hAnsi="Garamond"/>
          <w:i/>
          <w:iCs/>
          <w:sz w:val="24"/>
          <w:szCs w:val="24"/>
        </w:rPr>
        <w:t>Applied Psychology: An International Review, 46</w:t>
      </w:r>
      <w:r w:rsidRPr="001A4474">
        <w:rPr>
          <w:rFonts w:ascii="Garamond" w:hAnsi="Garamond"/>
          <w:sz w:val="24"/>
          <w:szCs w:val="24"/>
        </w:rPr>
        <w:t>(1), 5–34. </w:t>
      </w:r>
      <w:hyperlink r:id="rId13" w:tgtFrame="_new" w:history="1">
        <w:r w:rsidRPr="001A4474">
          <w:rPr>
            <w:rStyle w:val="Hyperlink"/>
            <w:rFonts w:ascii="Garamond" w:hAnsi="Garamond"/>
            <w:sz w:val="24"/>
            <w:szCs w:val="24"/>
          </w:rPr>
          <w:t>https://doi.org/10.1111/j.1464-0597.1997.tb01087.x</w:t>
        </w:r>
      </w:hyperlink>
    </w:p>
    <w:p w14:paraId="3C5AEA36" w14:textId="77777777" w:rsidR="001A4474" w:rsidRPr="001A4474" w:rsidRDefault="001A4474" w:rsidP="001A4474">
      <w:pPr>
        <w:spacing w:after="100"/>
        <w:ind w:left="720" w:hanging="720"/>
        <w:rPr>
          <w:rFonts w:ascii="Garamond" w:hAnsi="Garamond"/>
          <w:sz w:val="24"/>
          <w:szCs w:val="24"/>
        </w:rPr>
      </w:pPr>
      <w:r w:rsidRPr="001A4474">
        <w:rPr>
          <w:rFonts w:ascii="Garamond" w:hAnsi="Garamond"/>
          <w:sz w:val="24"/>
          <w:szCs w:val="24"/>
        </w:rPr>
        <w:t>Bhugra, D. (2004). Migration, distress and cultural identity. </w:t>
      </w:r>
      <w:r w:rsidRPr="001A4474">
        <w:rPr>
          <w:rFonts w:ascii="Garamond" w:hAnsi="Garamond"/>
          <w:i/>
          <w:iCs/>
          <w:sz w:val="24"/>
          <w:szCs w:val="24"/>
        </w:rPr>
        <w:t>British Medical Bulletin, 69</w:t>
      </w:r>
      <w:r w:rsidRPr="001A4474">
        <w:rPr>
          <w:rFonts w:ascii="Garamond" w:hAnsi="Garamond"/>
          <w:sz w:val="24"/>
          <w:szCs w:val="24"/>
        </w:rPr>
        <w:t>(1), 129–141. </w:t>
      </w:r>
      <w:hyperlink r:id="rId14" w:tgtFrame="_new" w:history="1">
        <w:r w:rsidRPr="001A4474">
          <w:rPr>
            <w:rStyle w:val="Hyperlink"/>
            <w:rFonts w:ascii="Garamond" w:hAnsi="Garamond"/>
            <w:sz w:val="24"/>
            <w:szCs w:val="24"/>
          </w:rPr>
          <w:t>https://doi.org/10.1093/bmb/ldh007</w:t>
        </w:r>
      </w:hyperlink>
    </w:p>
    <w:p w14:paraId="06D7EA9E" w14:textId="77777777" w:rsidR="001A4474" w:rsidRPr="001A4474" w:rsidRDefault="001A4474" w:rsidP="001A4474">
      <w:pPr>
        <w:spacing w:after="100"/>
        <w:ind w:left="720" w:hanging="720"/>
        <w:rPr>
          <w:rFonts w:ascii="Garamond" w:hAnsi="Garamond"/>
          <w:sz w:val="24"/>
          <w:szCs w:val="24"/>
        </w:rPr>
      </w:pPr>
      <w:r w:rsidRPr="001A4474">
        <w:rPr>
          <w:rFonts w:ascii="Garamond" w:hAnsi="Garamond"/>
          <w:sz w:val="24"/>
          <w:szCs w:val="24"/>
        </w:rPr>
        <w:t>Bögner, D., Herlihy, J., &amp; Brewin, C. R. (2007). Impact of sexual violence on disclosure during Home Office interviews. </w:t>
      </w:r>
      <w:r w:rsidRPr="001A4474">
        <w:rPr>
          <w:rFonts w:ascii="Garamond" w:hAnsi="Garamond"/>
          <w:i/>
          <w:iCs/>
          <w:sz w:val="24"/>
          <w:szCs w:val="24"/>
        </w:rPr>
        <w:t>The British Journal of Psychiatry, 191</w:t>
      </w:r>
      <w:r w:rsidRPr="001A4474">
        <w:rPr>
          <w:rFonts w:ascii="Garamond" w:hAnsi="Garamond"/>
          <w:sz w:val="24"/>
          <w:szCs w:val="24"/>
        </w:rPr>
        <w:t>(1), 75–81. </w:t>
      </w:r>
      <w:hyperlink r:id="rId15" w:tgtFrame="_new" w:history="1">
        <w:r w:rsidRPr="001A4474">
          <w:rPr>
            <w:rStyle w:val="Hyperlink"/>
            <w:rFonts w:ascii="Garamond" w:hAnsi="Garamond"/>
            <w:sz w:val="24"/>
            <w:szCs w:val="24"/>
          </w:rPr>
          <w:t>https://doi.org/10.1192/bjp.bp.106.030262</w:t>
        </w:r>
      </w:hyperlink>
    </w:p>
    <w:p w14:paraId="24507070" w14:textId="77777777" w:rsidR="001A4474" w:rsidRPr="001A4474" w:rsidRDefault="001A4474" w:rsidP="001A4474">
      <w:pPr>
        <w:spacing w:after="100"/>
        <w:ind w:left="720" w:hanging="720"/>
        <w:rPr>
          <w:rFonts w:ascii="Garamond" w:hAnsi="Garamond"/>
          <w:sz w:val="24"/>
          <w:szCs w:val="24"/>
        </w:rPr>
      </w:pPr>
      <w:r w:rsidRPr="001A4474">
        <w:rPr>
          <w:rFonts w:ascii="Garamond" w:hAnsi="Garamond"/>
          <w:sz w:val="24"/>
          <w:szCs w:val="24"/>
        </w:rPr>
        <w:t xml:space="preserve">Center for Human Rights, Gender and Migration at Washington University in St. Louis, Red Regional de </w:t>
      </w:r>
      <w:proofErr w:type="spellStart"/>
      <w:r w:rsidRPr="001A4474">
        <w:rPr>
          <w:rFonts w:ascii="Garamond" w:hAnsi="Garamond"/>
          <w:sz w:val="24"/>
          <w:szCs w:val="24"/>
        </w:rPr>
        <w:t>Espacios</w:t>
      </w:r>
      <w:proofErr w:type="spellEnd"/>
      <w:r w:rsidRPr="001A4474">
        <w:rPr>
          <w:rFonts w:ascii="Garamond" w:hAnsi="Garamond"/>
          <w:sz w:val="24"/>
          <w:szCs w:val="24"/>
        </w:rPr>
        <w:t xml:space="preserve"> Seguros, &amp; UN High Commissioner for Refugees. (2020, December 10). </w:t>
      </w:r>
      <w:r w:rsidRPr="001A4474">
        <w:rPr>
          <w:rFonts w:ascii="Garamond" w:hAnsi="Garamond"/>
          <w:i/>
          <w:iCs/>
          <w:sz w:val="24"/>
          <w:szCs w:val="24"/>
        </w:rPr>
        <w:t>The silence I carry: Disclosing gender-based violence in forced displacement: Practitioners’ toolkit for Mexico</w:t>
      </w:r>
      <w:r w:rsidRPr="001A4474">
        <w:rPr>
          <w:rFonts w:ascii="Garamond" w:hAnsi="Garamond"/>
          <w:sz w:val="24"/>
          <w:szCs w:val="24"/>
        </w:rPr>
        <w:t> (Revised, 2020). </w:t>
      </w:r>
      <w:hyperlink r:id="rId16" w:tgtFrame="_new" w:history="1">
        <w:r w:rsidRPr="001A4474">
          <w:rPr>
            <w:rStyle w:val="Hyperlink"/>
            <w:rFonts w:ascii="Garamond" w:hAnsi="Garamond"/>
            <w:sz w:val="24"/>
            <w:szCs w:val="24"/>
          </w:rPr>
          <w:t>https://www.refworld.org/sites/default/files/attachments/60cacb9e4.pdf</w:t>
        </w:r>
      </w:hyperlink>
    </w:p>
    <w:p w14:paraId="3CF645A4" w14:textId="77777777" w:rsidR="001A4474" w:rsidRPr="001A4474" w:rsidRDefault="001A4474" w:rsidP="001A4474">
      <w:pPr>
        <w:spacing w:after="100"/>
        <w:ind w:left="720" w:hanging="720"/>
        <w:rPr>
          <w:rFonts w:ascii="Garamond" w:hAnsi="Garamond"/>
          <w:sz w:val="24"/>
          <w:szCs w:val="24"/>
        </w:rPr>
      </w:pPr>
      <w:r w:rsidRPr="001A4474">
        <w:rPr>
          <w:rFonts w:ascii="Garamond" w:hAnsi="Garamond"/>
          <w:sz w:val="24"/>
          <w:szCs w:val="24"/>
        </w:rPr>
        <w:t>European Union Agency for Asylum. (2024, January 17). </w:t>
      </w:r>
      <w:r w:rsidRPr="001A4474">
        <w:rPr>
          <w:rFonts w:ascii="Garamond" w:hAnsi="Garamond"/>
          <w:i/>
          <w:iCs/>
          <w:sz w:val="24"/>
          <w:szCs w:val="24"/>
        </w:rPr>
        <w:t>Practical guide on evidence and risk assessment</w:t>
      </w:r>
      <w:r w:rsidRPr="001A4474">
        <w:rPr>
          <w:rFonts w:ascii="Garamond" w:hAnsi="Garamond"/>
          <w:sz w:val="24"/>
          <w:szCs w:val="24"/>
        </w:rPr>
        <w:t>. </w:t>
      </w:r>
      <w:hyperlink r:id="rId17" w:tgtFrame="_new" w:history="1">
        <w:r w:rsidRPr="001A4474">
          <w:rPr>
            <w:rStyle w:val="Hyperlink"/>
            <w:rFonts w:ascii="Garamond" w:hAnsi="Garamond"/>
            <w:sz w:val="24"/>
            <w:szCs w:val="24"/>
          </w:rPr>
          <w:t>https://www.euaa.europa.eu/publications/practical-guide-evidence-and-risk-assessment</w:t>
        </w:r>
      </w:hyperlink>
    </w:p>
    <w:p w14:paraId="4EDA6CF5" w14:textId="77777777" w:rsidR="001A4474" w:rsidRPr="001A4474" w:rsidRDefault="001A4474" w:rsidP="001A4474">
      <w:pPr>
        <w:spacing w:after="100"/>
        <w:ind w:left="720" w:hanging="720"/>
        <w:rPr>
          <w:rFonts w:ascii="Garamond" w:hAnsi="Garamond"/>
          <w:sz w:val="24"/>
          <w:szCs w:val="24"/>
        </w:rPr>
      </w:pPr>
      <w:r w:rsidRPr="001A4474">
        <w:rPr>
          <w:rFonts w:ascii="Garamond" w:hAnsi="Garamond"/>
          <w:sz w:val="24"/>
          <w:szCs w:val="24"/>
        </w:rPr>
        <w:t>Executive Office for Immigration Review. (2026a, January 26). </w:t>
      </w:r>
      <w:r w:rsidRPr="001A4474">
        <w:rPr>
          <w:rFonts w:ascii="Garamond" w:hAnsi="Garamond"/>
          <w:i/>
          <w:iCs/>
          <w:sz w:val="24"/>
          <w:szCs w:val="24"/>
        </w:rPr>
        <w:t>Asylum decisions</w:t>
      </w:r>
      <w:r w:rsidRPr="001A4474">
        <w:rPr>
          <w:rFonts w:ascii="Garamond" w:hAnsi="Garamond"/>
          <w:sz w:val="24"/>
          <w:szCs w:val="24"/>
        </w:rPr>
        <w:t> (Adjudication statistics). U.S. Department of Justice. </w:t>
      </w:r>
      <w:hyperlink r:id="rId18" w:tgtFrame="_new" w:history="1">
        <w:r w:rsidRPr="001A4474">
          <w:rPr>
            <w:rStyle w:val="Hyperlink"/>
            <w:rFonts w:ascii="Garamond" w:hAnsi="Garamond"/>
            <w:sz w:val="24"/>
            <w:szCs w:val="24"/>
          </w:rPr>
          <w:t>https://www.justice.gov/eoir/media/1344851/dl?inline=</w:t>
        </w:r>
      </w:hyperlink>
    </w:p>
    <w:p w14:paraId="2C92DEAD" w14:textId="77777777" w:rsidR="001A4474" w:rsidRPr="001A4474" w:rsidRDefault="001A4474" w:rsidP="001A4474">
      <w:pPr>
        <w:spacing w:after="100"/>
        <w:ind w:left="720" w:hanging="720"/>
        <w:rPr>
          <w:rFonts w:ascii="Garamond" w:hAnsi="Garamond"/>
          <w:sz w:val="24"/>
          <w:szCs w:val="24"/>
        </w:rPr>
      </w:pPr>
      <w:r w:rsidRPr="001A4474">
        <w:rPr>
          <w:rFonts w:ascii="Garamond" w:hAnsi="Garamond"/>
          <w:sz w:val="24"/>
          <w:szCs w:val="24"/>
        </w:rPr>
        <w:t>Executive Office for Immigration Review. (2026b, March). </w:t>
      </w:r>
      <w:r w:rsidRPr="001A4474">
        <w:rPr>
          <w:rFonts w:ascii="Garamond" w:hAnsi="Garamond"/>
          <w:i/>
          <w:iCs/>
          <w:sz w:val="24"/>
          <w:szCs w:val="24"/>
        </w:rPr>
        <w:t>FY 2027 performance budget: Congressional justification</w:t>
      </w:r>
      <w:r w:rsidRPr="001A4474">
        <w:rPr>
          <w:rFonts w:ascii="Garamond" w:hAnsi="Garamond"/>
          <w:sz w:val="24"/>
          <w:szCs w:val="24"/>
        </w:rPr>
        <w:t>. U.S. Department of Justice. </w:t>
      </w:r>
      <w:hyperlink r:id="rId19" w:tgtFrame="_new" w:history="1">
        <w:r w:rsidRPr="001A4474">
          <w:rPr>
            <w:rStyle w:val="Hyperlink"/>
            <w:rFonts w:ascii="Garamond" w:hAnsi="Garamond"/>
            <w:sz w:val="24"/>
            <w:szCs w:val="24"/>
          </w:rPr>
          <w:t>https://www.justice.gov/jmd/media/1434716/dl?inline=</w:t>
        </w:r>
      </w:hyperlink>
    </w:p>
    <w:p w14:paraId="19756D5D" w14:textId="77777777" w:rsidR="001A4474" w:rsidRPr="001A4474" w:rsidRDefault="001A4474" w:rsidP="001A4474">
      <w:pPr>
        <w:spacing w:after="100"/>
        <w:ind w:left="720" w:hanging="720"/>
        <w:rPr>
          <w:rFonts w:ascii="Garamond" w:hAnsi="Garamond"/>
          <w:sz w:val="24"/>
          <w:szCs w:val="24"/>
        </w:rPr>
      </w:pPr>
      <w:r w:rsidRPr="001A4474">
        <w:rPr>
          <w:rFonts w:ascii="Garamond" w:hAnsi="Garamond"/>
          <w:sz w:val="24"/>
          <w:szCs w:val="24"/>
        </w:rPr>
        <w:t>Herlihy, J., Scragg, P., &amp; Turner, S. (2002). Discrepancies in autobiographical memories—Implications for the assessment of asylum seekers: Repeated interviews study. </w:t>
      </w:r>
      <w:r w:rsidRPr="001A4474">
        <w:rPr>
          <w:rFonts w:ascii="Garamond" w:hAnsi="Garamond"/>
          <w:i/>
          <w:iCs/>
          <w:sz w:val="24"/>
          <w:szCs w:val="24"/>
        </w:rPr>
        <w:t>BMJ, 324</w:t>
      </w:r>
      <w:r w:rsidRPr="001A4474">
        <w:rPr>
          <w:rFonts w:ascii="Garamond" w:hAnsi="Garamond"/>
          <w:sz w:val="24"/>
          <w:szCs w:val="24"/>
        </w:rPr>
        <w:t>(7333), 324–327. </w:t>
      </w:r>
      <w:hyperlink r:id="rId20" w:tgtFrame="_new" w:history="1">
        <w:r w:rsidRPr="001A4474">
          <w:rPr>
            <w:rStyle w:val="Hyperlink"/>
            <w:rFonts w:ascii="Garamond" w:hAnsi="Garamond"/>
            <w:sz w:val="24"/>
            <w:szCs w:val="24"/>
          </w:rPr>
          <w:t>https://doi.org/10.1136/bmj.324.7333.324</w:t>
        </w:r>
      </w:hyperlink>
    </w:p>
    <w:p w14:paraId="48F14C72" w14:textId="77777777" w:rsidR="001A4474" w:rsidRPr="001A4474" w:rsidRDefault="001A4474" w:rsidP="001A4474">
      <w:pPr>
        <w:spacing w:after="100"/>
        <w:ind w:left="720" w:hanging="720"/>
        <w:rPr>
          <w:rFonts w:ascii="Garamond" w:hAnsi="Garamond"/>
          <w:sz w:val="24"/>
          <w:szCs w:val="24"/>
        </w:rPr>
      </w:pPr>
      <w:r w:rsidRPr="001A4474">
        <w:rPr>
          <w:rFonts w:ascii="Garamond" w:hAnsi="Garamond"/>
          <w:sz w:val="24"/>
          <w:szCs w:val="24"/>
        </w:rPr>
        <w:t>Herlihy, J., &amp; Turner, S. (2015). Untested assumptions: Psychological research and credibility assessment in legal decision-making. </w:t>
      </w:r>
      <w:r w:rsidRPr="001A4474">
        <w:rPr>
          <w:rFonts w:ascii="Garamond" w:hAnsi="Garamond"/>
          <w:i/>
          <w:iCs/>
          <w:sz w:val="24"/>
          <w:szCs w:val="24"/>
        </w:rPr>
        <w:t xml:space="preserve">European Journal of </w:t>
      </w:r>
      <w:proofErr w:type="spellStart"/>
      <w:r w:rsidRPr="001A4474">
        <w:rPr>
          <w:rFonts w:ascii="Garamond" w:hAnsi="Garamond"/>
          <w:i/>
          <w:iCs/>
          <w:sz w:val="24"/>
          <w:szCs w:val="24"/>
        </w:rPr>
        <w:t>Psychotraumatology</w:t>
      </w:r>
      <w:proofErr w:type="spellEnd"/>
      <w:r w:rsidRPr="001A4474">
        <w:rPr>
          <w:rFonts w:ascii="Garamond" w:hAnsi="Garamond"/>
          <w:i/>
          <w:iCs/>
          <w:sz w:val="24"/>
          <w:szCs w:val="24"/>
        </w:rPr>
        <w:t>, 6</w:t>
      </w:r>
      <w:r w:rsidRPr="001A4474">
        <w:rPr>
          <w:rFonts w:ascii="Garamond" w:hAnsi="Garamond"/>
          <w:sz w:val="24"/>
          <w:szCs w:val="24"/>
        </w:rPr>
        <w:t>, Article 27380. </w:t>
      </w:r>
      <w:hyperlink r:id="rId21" w:tgtFrame="_new" w:history="1">
        <w:r w:rsidRPr="001A4474">
          <w:rPr>
            <w:rStyle w:val="Hyperlink"/>
            <w:rFonts w:ascii="Garamond" w:hAnsi="Garamond"/>
            <w:sz w:val="24"/>
            <w:szCs w:val="24"/>
          </w:rPr>
          <w:t>https://doi.org/10.3402/ejpt.v6.27380</w:t>
        </w:r>
      </w:hyperlink>
    </w:p>
    <w:p w14:paraId="6C0E8C13" w14:textId="77777777" w:rsidR="001A4474" w:rsidRPr="001A4474" w:rsidRDefault="001A4474" w:rsidP="001A4474">
      <w:pPr>
        <w:spacing w:after="100"/>
        <w:ind w:left="720" w:hanging="720"/>
        <w:rPr>
          <w:rFonts w:ascii="Garamond" w:hAnsi="Garamond"/>
          <w:sz w:val="24"/>
          <w:szCs w:val="24"/>
        </w:rPr>
      </w:pPr>
      <w:proofErr w:type="spellStart"/>
      <w:r w:rsidRPr="001A4474">
        <w:rPr>
          <w:rFonts w:ascii="Garamond" w:hAnsi="Garamond"/>
          <w:sz w:val="24"/>
          <w:szCs w:val="24"/>
        </w:rPr>
        <w:lastRenderedPageBreak/>
        <w:t>Im</w:t>
      </w:r>
      <w:proofErr w:type="spellEnd"/>
      <w:r w:rsidRPr="001A4474">
        <w:rPr>
          <w:rFonts w:ascii="Garamond" w:hAnsi="Garamond"/>
          <w:sz w:val="24"/>
          <w:szCs w:val="24"/>
        </w:rPr>
        <w:t>, H., &amp; Swan, L. E. T. (2021). Working towards culturally responsive trauma-informed care in the refugee resettlement process: Qualitative inquiry with refugee-serving professionals in the United States. </w:t>
      </w:r>
      <w:r w:rsidRPr="001A4474">
        <w:rPr>
          <w:rFonts w:ascii="Garamond" w:hAnsi="Garamond"/>
          <w:i/>
          <w:iCs/>
          <w:sz w:val="24"/>
          <w:szCs w:val="24"/>
        </w:rPr>
        <w:t>Behavioral Sciences, 11</w:t>
      </w:r>
      <w:r w:rsidRPr="001A4474">
        <w:rPr>
          <w:rFonts w:ascii="Garamond" w:hAnsi="Garamond"/>
          <w:sz w:val="24"/>
          <w:szCs w:val="24"/>
        </w:rPr>
        <w:t>(11), Article 155. </w:t>
      </w:r>
      <w:hyperlink r:id="rId22" w:tgtFrame="_new" w:history="1">
        <w:r w:rsidRPr="001A4474">
          <w:rPr>
            <w:rStyle w:val="Hyperlink"/>
            <w:rFonts w:ascii="Garamond" w:hAnsi="Garamond"/>
            <w:sz w:val="24"/>
            <w:szCs w:val="24"/>
          </w:rPr>
          <w:t>https://doi.org/10.3390/bs11110155</w:t>
        </w:r>
      </w:hyperlink>
    </w:p>
    <w:p w14:paraId="0520ACDE" w14:textId="77777777" w:rsidR="001A4474" w:rsidRPr="001A4474" w:rsidRDefault="001A4474" w:rsidP="001A4474">
      <w:pPr>
        <w:spacing w:after="100"/>
        <w:ind w:left="720" w:hanging="720"/>
        <w:rPr>
          <w:rFonts w:ascii="Garamond" w:hAnsi="Garamond"/>
          <w:sz w:val="24"/>
          <w:szCs w:val="24"/>
        </w:rPr>
      </w:pPr>
      <w:r w:rsidRPr="001A4474">
        <w:rPr>
          <w:rFonts w:ascii="Garamond" w:hAnsi="Garamond"/>
          <w:sz w:val="24"/>
          <w:szCs w:val="24"/>
        </w:rPr>
        <w:t>Khan, S., Kuhn, S. K., &amp; Haque, S. (2021). A systematic review of autobiographical memory and mental health research on refugees and asylum seekers. </w:t>
      </w:r>
      <w:r w:rsidRPr="001A4474">
        <w:rPr>
          <w:rFonts w:ascii="Garamond" w:hAnsi="Garamond"/>
          <w:i/>
          <w:iCs/>
          <w:sz w:val="24"/>
          <w:szCs w:val="24"/>
        </w:rPr>
        <w:t>Frontiers in Psychiatry, 12</w:t>
      </w:r>
      <w:r w:rsidRPr="001A4474">
        <w:rPr>
          <w:rFonts w:ascii="Garamond" w:hAnsi="Garamond"/>
          <w:sz w:val="24"/>
          <w:szCs w:val="24"/>
        </w:rPr>
        <w:t>, Article 658700. </w:t>
      </w:r>
      <w:hyperlink r:id="rId23" w:tgtFrame="_new" w:history="1">
        <w:r w:rsidRPr="001A4474">
          <w:rPr>
            <w:rStyle w:val="Hyperlink"/>
            <w:rFonts w:ascii="Garamond" w:hAnsi="Garamond"/>
            <w:sz w:val="24"/>
            <w:szCs w:val="24"/>
          </w:rPr>
          <w:t>https://doi.org/10.3389/fpsyt.2021.658700</w:t>
        </w:r>
      </w:hyperlink>
    </w:p>
    <w:p w14:paraId="51946CC8" w14:textId="77777777" w:rsidR="001A4474" w:rsidRPr="001A4474" w:rsidRDefault="001A4474" w:rsidP="001A4474">
      <w:pPr>
        <w:spacing w:after="100"/>
        <w:ind w:left="720" w:hanging="720"/>
        <w:rPr>
          <w:rFonts w:ascii="Garamond" w:hAnsi="Garamond"/>
          <w:sz w:val="24"/>
          <w:szCs w:val="24"/>
        </w:rPr>
      </w:pPr>
      <w:r w:rsidRPr="001A4474">
        <w:rPr>
          <w:rFonts w:ascii="Garamond" w:hAnsi="Garamond"/>
          <w:sz w:val="24"/>
          <w:szCs w:val="24"/>
        </w:rPr>
        <w:t>Marian, V., &amp; Neisser, U. (2000). Language-dependent recall of autobiographical memories. </w:t>
      </w:r>
      <w:r w:rsidRPr="001A4474">
        <w:rPr>
          <w:rFonts w:ascii="Garamond" w:hAnsi="Garamond"/>
          <w:i/>
          <w:iCs/>
          <w:sz w:val="24"/>
          <w:szCs w:val="24"/>
        </w:rPr>
        <w:t>Journal of Experimental Psychology: General, 129</w:t>
      </w:r>
      <w:r w:rsidRPr="001A4474">
        <w:rPr>
          <w:rFonts w:ascii="Garamond" w:hAnsi="Garamond"/>
          <w:sz w:val="24"/>
          <w:szCs w:val="24"/>
        </w:rPr>
        <w:t>(3), 361–368. </w:t>
      </w:r>
      <w:hyperlink r:id="rId24" w:tgtFrame="_new" w:history="1">
        <w:r w:rsidRPr="001A4474">
          <w:rPr>
            <w:rStyle w:val="Hyperlink"/>
            <w:rFonts w:ascii="Garamond" w:hAnsi="Garamond"/>
            <w:sz w:val="24"/>
            <w:szCs w:val="24"/>
          </w:rPr>
          <w:t>https://doi.org/10.1037/0096-3445.129.3.361</w:t>
        </w:r>
      </w:hyperlink>
    </w:p>
    <w:p w14:paraId="461E0DF9" w14:textId="77777777" w:rsidR="001A4474" w:rsidRPr="001A4474" w:rsidRDefault="001A4474" w:rsidP="001A4474">
      <w:pPr>
        <w:spacing w:after="100"/>
        <w:ind w:left="720" w:hanging="720"/>
        <w:rPr>
          <w:rFonts w:ascii="Garamond" w:hAnsi="Garamond"/>
          <w:sz w:val="24"/>
          <w:szCs w:val="24"/>
        </w:rPr>
      </w:pPr>
      <w:r w:rsidRPr="001A4474">
        <w:rPr>
          <w:rFonts w:ascii="Garamond" w:hAnsi="Garamond"/>
          <w:sz w:val="24"/>
          <w:szCs w:val="24"/>
        </w:rPr>
        <w:t xml:space="preserve">Mellinger, H., &amp; </w:t>
      </w:r>
      <w:proofErr w:type="spellStart"/>
      <w:r w:rsidRPr="001A4474">
        <w:rPr>
          <w:rFonts w:ascii="Garamond" w:hAnsi="Garamond"/>
          <w:sz w:val="24"/>
          <w:szCs w:val="24"/>
        </w:rPr>
        <w:t>Dadhania</w:t>
      </w:r>
      <w:proofErr w:type="spellEnd"/>
      <w:r w:rsidRPr="001A4474">
        <w:rPr>
          <w:rFonts w:ascii="Garamond" w:hAnsi="Garamond"/>
          <w:sz w:val="24"/>
          <w:szCs w:val="24"/>
        </w:rPr>
        <w:t>, P. R. (2025). More than miscommunication: Rethinking interpretation at the Asylum Office. </w:t>
      </w:r>
      <w:r w:rsidRPr="001A4474">
        <w:rPr>
          <w:rFonts w:ascii="Garamond" w:hAnsi="Garamond"/>
          <w:i/>
          <w:iCs/>
          <w:sz w:val="24"/>
          <w:szCs w:val="24"/>
        </w:rPr>
        <w:t>Journal on Migration and Human Security, 13</w:t>
      </w:r>
      <w:r w:rsidRPr="001A4474">
        <w:rPr>
          <w:rFonts w:ascii="Garamond" w:hAnsi="Garamond"/>
          <w:sz w:val="24"/>
          <w:szCs w:val="24"/>
        </w:rPr>
        <w:t>(4), 478–496. </w:t>
      </w:r>
      <w:hyperlink r:id="rId25" w:tgtFrame="_new" w:history="1">
        <w:r w:rsidRPr="001A4474">
          <w:rPr>
            <w:rStyle w:val="Hyperlink"/>
            <w:rFonts w:ascii="Garamond" w:hAnsi="Garamond"/>
            <w:sz w:val="24"/>
            <w:szCs w:val="24"/>
          </w:rPr>
          <w:t>https://doi.org/10.1177/23315024251339779</w:t>
        </w:r>
      </w:hyperlink>
    </w:p>
    <w:p w14:paraId="0A0AD0B8" w14:textId="77777777" w:rsidR="001A4474" w:rsidRPr="001A4474" w:rsidRDefault="001A4474" w:rsidP="001A4474">
      <w:pPr>
        <w:spacing w:after="100"/>
        <w:ind w:left="720" w:hanging="720"/>
        <w:rPr>
          <w:rFonts w:ascii="Garamond" w:hAnsi="Garamond"/>
          <w:sz w:val="24"/>
          <w:szCs w:val="24"/>
        </w:rPr>
      </w:pPr>
      <w:r w:rsidRPr="001A4474">
        <w:rPr>
          <w:rFonts w:ascii="Garamond" w:hAnsi="Garamond"/>
          <w:sz w:val="24"/>
          <w:szCs w:val="24"/>
        </w:rPr>
        <w:t xml:space="preserve">Miller, K. K., Brown, C. R., Shramko, M., &amp; </w:t>
      </w:r>
      <w:proofErr w:type="spellStart"/>
      <w:r w:rsidRPr="001A4474">
        <w:rPr>
          <w:rFonts w:ascii="Garamond" w:hAnsi="Garamond"/>
          <w:sz w:val="24"/>
          <w:szCs w:val="24"/>
        </w:rPr>
        <w:t>Svetaz</w:t>
      </w:r>
      <w:proofErr w:type="spellEnd"/>
      <w:r w:rsidRPr="001A4474">
        <w:rPr>
          <w:rFonts w:ascii="Garamond" w:hAnsi="Garamond"/>
          <w:sz w:val="24"/>
          <w:szCs w:val="24"/>
        </w:rPr>
        <w:t>, M. V. (2019). Applying trauma-informed practices to the care of refugee and immigrant youth: 10 clinical pearls. </w:t>
      </w:r>
      <w:r w:rsidRPr="001A4474">
        <w:rPr>
          <w:rFonts w:ascii="Garamond" w:hAnsi="Garamond"/>
          <w:i/>
          <w:iCs/>
          <w:sz w:val="24"/>
          <w:szCs w:val="24"/>
        </w:rPr>
        <w:t>Children, 6</w:t>
      </w:r>
      <w:r w:rsidRPr="001A4474">
        <w:rPr>
          <w:rFonts w:ascii="Garamond" w:hAnsi="Garamond"/>
          <w:sz w:val="24"/>
          <w:szCs w:val="24"/>
        </w:rPr>
        <w:t>(8), Article 94. </w:t>
      </w:r>
      <w:hyperlink r:id="rId26" w:tgtFrame="_new" w:history="1">
        <w:r w:rsidRPr="001A4474">
          <w:rPr>
            <w:rStyle w:val="Hyperlink"/>
            <w:rFonts w:ascii="Garamond" w:hAnsi="Garamond"/>
            <w:sz w:val="24"/>
            <w:szCs w:val="24"/>
          </w:rPr>
          <w:t>https://doi.org/10.3390/children6080094</w:t>
        </w:r>
      </w:hyperlink>
    </w:p>
    <w:p w14:paraId="5BF5CC5A" w14:textId="77777777" w:rsidR="001A4474" w:rsidRPr="001A4474" w:rsidRDefault="001A4474" w:rsidP="001A4474">
      <w:pPr>
        <w:spacing w:after="100"/>
        <w:ind w:left="720" w:hanging="720"/>
        <w:rPr>
          <w:rFonts w:ascii="Garamond" w:hAnsi="Garamond"/>
          <w:sz w:val="24"/>
          <w:szCs w:val="24"/>
        </w:rPr>
      </w:pPr>
      <w:r w:rsidRPr="001A4474">
        <w:rPr>
          <w:rFonts w:ascii="Garamond" w:hAnsi="Garamond"/>
          <w:sz w:val="24"/>
          <w:szCs w:val="24"/>
        </w:rPr>
        <w:t>Ostrander, J., Melville, A., &amp; Berthold, S. M. (2017). Working with refugees in the U.S.: Trauma-informed and structurally competent social work approaches. </w:t>
      </w:r>
      <w:r w:rsidRPr="001A4474">
        <w:rPr>
          <w:rFonts w:ascii="Garamond" w:hAnsi="Garamond"/>
          <w:i/>
          <w:iCs/>
          <w:sz w:val="24"/>
          <w:szCs w:val="24"/>
        </w:rPr>
        <w:t>Advances in Social Work, 18</w:t>
      </w:r>
      <w:r w:rsidRPr="001A4474">
        <w:rPr>
          <w:rFonts w:ascii="Garamond" w:hAnsi="Garamond"/>
          <w:sz w:val="24"/>
          <w:szCs w:val="24"/>
        </w:rPr>
        <w:t>(1), 66–79. </w:t>
      </w:r>
      <w:hyperlink r:id="rId27" w:tgtFrame="_new" w:history="1">
        <w:r w:rsidRPr="001A4474">
          <w:rPr>
            <w:rStyle w:val="Hyperlink"/>
            <w:rFonts w:ascii="Garamond" w:hAnsi="Garamond"/>
            <w:sz w:val="24"/>
            <w:szCs w:val="24"/>
          </w:rPr>
          <w:t>https://doi.org/10.18060/21282</w:t>
        </w:r>
      </w:hyperlink>
    </w:p>
    <w:p w14:paraId="7FAD8AA8" w14:textId="77777777" w:rsidR="001A4474" w:rsidRPr="001A4474" w:rsidRDefault="001A4474" w:rsidP="001A4474">
      <w:pPr>
        <w:spacing w:after="100"/>
        <w:ind w:left="720" w:hanging="720"/>
        <w:rPr>
          <w:rFonts w:ascii="Garamond" w:hAnsi="Garamond"/>
          <w:sz w:val="24"/>
          <w:szCs w:val="24"/>
        </w:rPr>
      </w:pPr>
      <w:r w:rsidRPr="001A4474">
        <w:rPr>
          <w:rFonts w:ascii="Garamond" w:hAnsi="Garamond"/>
          <w:sz w:val="24"/>
          <w:szCs w:val="24"/>
        </w:rPr>
        <w:t>Ottosson, L., Angu, P., &amp; Gustafsson, K. (2024). Mismanagement and misinterpretations in asylum interviews: Perspectives from South Africa and Sweden. </w:t>
      </w:r>
      <w:r w:rsidRPr="001A4474">
        <w:rPr>
          <w:rFonts w:ascii="Garamond" w:hAnsi="Garamond"/>
          <w:i/>
          <w:iCs/>
          <w:sz w:val="24"/>
          <w:szCs w:val="24"/>
        </w:rPr>
        <w:t>Journal of Refugee Studies, 37</w:t>
      </w:r>
      <w:r w:rsidRPr="001A4474">
        <w:rPr>
          <w:rFonts w:ascii="Garamond" w:hAnsi="Garamond"/>
          <w:sz w:val="24"/>
          <w:szCs w:val="24"/>
        </w:rPr>
        <w:t>(3), 785–799. </w:t>
      </w:r>
      <w:hyperlink r:id="rId28" w:tgtFrame="_new" w:history="1">
        <w:r w:rsidRPr="001A4474">
          <w:rPr>
            <w:rStyle w:val="Hyperlink"/>
            <w:rFonts w:ascii="Garamond" w:hAnsi="Garamond"/>
            <w:sz w:val="24"/>
            <w:szCs w:val="24"/>
          </w:rPr>
          <w:t>https://doi.org/10.1093/jrs/feae054</w:t>
        </w:r>
      </w:hyperlink>
    </w:p>
    <w:p w14:paraId="3FAD59CC" w14:textId="77777777" w:rsidR="001A4474" w:rsidRPr="001A4474" w:rsidRDefault="001A4474" w:rsidP="001A4474">
      <w:pPr>
        <w:spacing w:after="100"/>
        <w:ind w:left="720" w:hanging="720"/>
        <w:rPr>
          <w:rFonts w:ascii="Garamond" w:hAnsi="Garamond"/>
          <w:sz w:val="24"/>
          <w:szCs w:val="24"/>
        </w:rPr>
      </w:pPr>
      <w:r w:rsidRPr="001A4474">
        <w:rPr>
          <w:rFonts w:ascii="Garamond" w:hAnsi="Garamond"/>
          <w:sz w:val="24"/>
          <w:szCs w:val="24"/>
        </w:rPr>
        <w:t>Raver, A., Lindholm, T., Gustafsson, P.-U., &amp; Alm, C. (2023). Memory accuracy, suggestibility and credibility in investigative interviews with native and non-native eyewitnesses. </w:t>
      </w:r>
      <w:r w:rsidRPr="001A4474">
        <w:rPr>
          <w:rFonts w:ascii="Garamond" w:hAnsi="Garamond"/>
          <w:i/>
          <w:iCs/>
          <w:sz w:val="24"/>
          <w:szCs w:val="24"/>
        </w:rPr>
        <w:t>Frontiers in Psychology, 14</w:t>
      </w:r>
      <w:r w:rsidRPr="001A4474">
        <w:rPr>
          <w:rFonts w:ascii="Garamond" w:hAnsi="Garamond"/>
          <w:sz w:val="24"/>
          <w:szCs w:val="24"/>
        </w:rPr>
        <w:t>, Article 1240822. </w:t>
      </w:r>
      <w:hyperlink r:id="rId29" w:tgtFrame="_new" w:history="1">
        <w:r w:rsidRPr="001A4474">
          <w:rPr>
            <w:rStyle w:val="Hyperlink"/>
            <w:rFonts w:ascii="Garamond" w:hAnsi="Garamond"/>
            <w:sz w:val="24"/>
            <w:szCs w:val="24"/>
          </w:rPr>
          <w:t>https://doi.org/10.3389/fpsyg.2023.1240822</w:t>
        </w:r>
      </w:hyperlink>
    </w:p>
    <w:p w14:paraId="785AD03B" w14:textId="77777777" w:rsidR="001A4474" w:rsidRPr="001A4474" w:rsidRDefault="001A4474" w:rsidP="001A4474">
      <w:pPr>
        <w:spacing w:after="100"/>
        <w:ind w:left="720" w:hanging="720"/>
        <w:rPr>
          <w:rFonts w:ascii="Garamond" w:hAnsi="Garamond"/>
          <w:sz w:val="24"/>
          <w:szCs w:val="24"/>
        </w:rPr>
      </w:pPr>
      <w:r w:rsidRPr="001A4474">
        <w:rPr>
          <w:rFonts w:ascii="Garamond" w:hAnsi="Garamond"/>
          <w:sz w:val="24"/>
          <w:szCs w:val="24"/>
        </w:rPr>
        <w:t xml:space="preserve">Saadi, A., Hampton, K., de Assis, M. V., Mishori, R., </w:t>
      </w:r>
      <w:proofErr w:type="spellStart"/>
      <w:r w:rsidRPr="001A4474">
        <w:rPr>
          <w:rFonts w:ascii="Garamond" w:hAnsi="Garamond"/>
          <w:sz w:val="24"/>
          <w:szCs w:val="24"/>
        </w:rPr>
        <w:t>Habbach</w:t>
      </w:r>
      <w:proofErr w:type="spellEnd"/>
      <w:r w:rsidRPr="001A4474">
        <w:rPr>
          <w:rFonts w:ascii="Garamond" w:hAnsi="Garamond"/>
          <w:sz w:val="24"/>
          <w:szCs w:val="24"/>
        </w:rPr>
        <w:t>, H., &amp; Haar, R. J. (2021). Associations between memory loss and trauma in US asylum seekers: A retrospective review of medico-legal affidavits. </w:t>
      </w:r>
      <w:r w:rsidRPr="001A4474">
        <w:rPr>
          <w:rFonts w:ascii="Garamond" w:hAnsi="Garamond"/>
          <w:i/>
          <w:iCs/>
          <w:sz w:val="24"/>
          <w:szCs w:val="24"/>
        </w:rPr>
        <w:t>PLOS ONE, 16</w:t>
      </w:r>
      <w:r w:rsidRPr="001A4474">
        <w:rPr>
          <w:rFonts w:ascii="Garamond" w:hAnsi="Garamond"/>
          <w:sz w:val="24"/>
          <w:szCs w:val="24"/>
        </w:rPr>
        <w:t>(3), e0247033. </w:t>
      </w:r>
      <w:hyperlink r:id="rId30" w:tgtFrame="_new" w:history="1">
        <w:r w:rsidRPr="001A4474">
          <w:rPr>
            <w:rStyle w:val="Hyperlink"/>
            <w:rFonts w:ascii="Garamond" w:hAnsi="Garamond"/>
            <w:sz w:val="24"/>
            <w:szCs w:val="24"/>
          </w:rPr>
          <w:t>https://doi.org/10.1371/journal.pone.0247033</w:t>
        </w:r>
      </w:hyperlink>
    </w:p>
    <w:p w14:paraId="4EF36191" w14:textId="77777777" w:rsidR="001A4474" w:rsidRPr="001A4474" w:rsidRDefault="001A4474" w:rsidP="001A4474">
      <w:pPr>
        <w:spacing w:after="100"/>
        <w:ind w:left="720" w:hanging="720"/>
        <w:rPr>
          <w:rFonts w:ascii="Garamond" w:hAnsi="Garamond"/>
          <w:sz w:val="24"/>
          <w:szCs w:val="24"/>
        </w:rPr>
      </w:pPr>
      <w:r w:rsidRPr="001A4474">
        <w:rPr>
          <w:rFonts w:ascii="Garamond" w:hAnsi="Garamond"/>
          <w:sz w:val="24"/>
          <w:szCs w:val="24"/>
        </w:rPr>
        <w:t>Substance Abuse and Mental Health Services Administration. (2014). </w:t>
      </w:r>
      <w:r w:rsidRPr="001A4474">
        <w:rPr>
          <w:rFonts w:ascii="Garamond" w:hAnsi="Garamond"/>
          <w:i/>
          <w:iCs/>
          <w:sz w:val="24"/>
          <w:szCs w:val="24"/>
        </w:rPr>
        <w:t>SAMHSA’s concept of trauma and guidance for a trauma-informed approach</w:t>
      </w:r>
      <w:r w:rsidRPr="001A4474">
        <w:rPr>
          <w:rFonts w:ascii="Garamond" w:hAnsi="Garamond"/>
          <w:sz w:val="24"/>
          <w:szCs w:val="24"/>
        </w:rPr>
        <w:t> (HHS Publication No. (SMA) 14-4884). </w:t>
      </w:r>
      <w:hyperlink r:id="rId31" w:tgtFrame="_new" w:history="1">
        <w:r w:rsidRPr="001A4474">
          <w:rPr>
            <w:rStyle w:val="Hyperlink"/>
            <w:rFonts w:ascii="Garamond" w:hAnsi="Garamond"/>
            <w:sz w:val="24"/>
            <w:szCs w:val="24"/>
          </w:rPr>
          <w:t>https://store.samhsa.gov/product/SAMHSA-s-Concept-of-Trauma-and-Guidance-for-a-Trauma-Informed-Approach/SMA14-4884</w:t>
        </w:r>
      </w:hyperlink>
    </w:p>
    <w:p w14:paraId="69F2D45C" w14:textId="77777777" w:rsidR="001A4474" w:rsidRPr="001A4474" w:rsidRDefault="001A4474" w:rsidP="001A4474">
      <w:pPr>
        <w:spacing w:after="100"/>
        <w:ind w:left="720" w:hanging="720"/>
        <w:rPr>
          <w:rFonts w:ascii="Garamond" w:hAnsi="Garamond"/>
          <w:sz w:val="24"/>
          <w:szCs w:val="24"/>
        </w:rPr>
      </w:pPr>
      <w:r w:rsidRPr="001A4474">
        <w:rPr>
          <w:rFonts w:ascii="Garamond" w:hAnsi="Garamond"/>
          <w:sz w:val="24"/>
          <w:szCs w:val="24"/>
        </w:rPr>
        <w:t>UN High Commissioner for Refugees. (2013, May). </w:t>
      </w:r>
      <w:r w:rsidRPr="001A4474">
        <w:rPr>
          <w:rFonts w:ascii="Garamond" w:hAnsi="Garamond"/>
          <w:i/>
          <w:iCs/>
          <w:sz w:val="24"/>
          <w:szCs w:val="24"/>
        </w:rPr>
        <w:t>Beyond proof: Credibility assessment in EU asylum systems</w:t>
      </w:r>
      <w:r w:rsidRPr="001A4474">
        <w:rPr>
          <w:rFonts w:ascii="Garamond" w:hAnsi="Garamond"/>
          <w:sz w:val="24"/>
          <w:szCs w:val="24"/>
        </w:rPr>
        <w:t> (Full report). </w:t>
      </w:r>
      <w:hyperlink r:id="rId32" w:tgtFrame="_new" w:history="1">
        <w:r w:rsidRPr="001A4474">
          <w:rPr>
            <w:rStyle w:val="Hyperlink"/>
            <w:rFonts w:ascii="Garamond" w:hAnsi="Garamond"/>
            <w:sz w:val="24"/>
            <w:szCs w:val="24"/>
          </w:rPr>
          <w:t>https://www.refworld.org/reference/regionalreport/unhcr/2013/en/104283</w:t>
        </w:r>
      </w:hyperlink>
    </w:p>
    <w:p w14:paraId="23C9C1B6" w14:textId="77777777" w:rsidR="001A4474" w:rsidRPr="001A4474" w:rsidRDefault="001A4474" w:rsidP="001A4474">
      <w:pPr>
        <w:spacing w:after="100"/>
        <w:ind w:left="720" w:hanging="720"/>
        <w:rPr>
          <w:rFonts w:ascii="Garamond" w:hAnsi="Garamond"/>
          <w:sz w:val="24"/>
          <w:szCs w:val="24"/>
        </w:rPr>
      </w:pPr>
      <w:r w:rsidRPr="001A4474">
        <w:rPr>
          <w:rFonts w:ascii="Garamond" w:hAnsi="Garamond"/>
          <w:sz w:val="24"/>
          <w:szCs w:val="24"/>
        </w:rPr>
        <w:t>Ungar, M. (2011). The social ecology of resilience: Addressing contextual and cultural ambiguity of a nascent construct. </w:t>
      </w:r>
      <w:r w:rsidRPr="001A4474">
        <w:rPr>
          <w:rFonts w:ascii="Garamond" w:hAnsi="Garamond"/>
          <w:i/>
          <w:iCs/>
          <w:sz w:val="24"/>
          <w:szCs w:val="24"/>
        </w:rPr>
        <w:t>American Journal of Orthopsychiatry, 81</w:t>
      </w:r>
      <w:r w:rsidRPr="001A4474">
        <w:rPr>
          <w:rFonts w:ascii="Garamond" w:hAnsi="Garamond"/>
          <w:sz w:val="24"/>
          <w:szCs w:val="24"/>
        </w:rPr>
        <w:t>(1), 1–17. </w:t>
      </w:r>
      <w:hyperlink r:id="rId33" w:tgtFrame="_new" w:history="1">
        <w:r w:rsidRPr="001A4474">
          <w:rPr>
            <w:rStyle w:val="Hyperlink"/>
            <w:rFonts w:ascii="Garamond" w:hAnsi="Garamond"/>
            <w:sz w:val="24"/>
            <w:szCs w:val="24"/>
          </w:rPr>
          <w:t>https://doi.org/10.1111/j.1939-0025.2010.01067.x</w:t>
        </w:r>
      </w:hyperlink>
    </w:p>
    <w:p w14:paraId="0E19395D" w14:textId="77777777" w:rsidR="001A4474" w:rsidRPr="001A4474" w:rsidRDefault="001A4474" w:rsidP="001A4474">
      <w:pPr>
        <w:spacing w:after="100"/>
        <w:ind w:left="720" w:hanging="720"/>
        <w:rPr>
          <w:rFonts w:ascii="Garamond" w:hAnsi="Garamond"/>
          <w:sz w:val="24"/>
          <w:szCs w:val="24"/>
        </w:rPr>
      </w:pPr>
      <w:r w:rsidRPr="001A4474">
        <w:rPr>
          <w:rFonts w:ascii="Garamond" w:hAnsi="Garamond"/>
          <w:sz w:val="24"/>
          <w:szCs w:val="24"/>
        </w:rPr>
        <w:t>U.S. Citizenship and Immigration Services. (2024, March 29). </w:t>
      </w:r>
      <w:r w:rsidRPr="001A4474">
        <w:rPr>
          <w:rFonts w:ascii="Garamond" w:hAnsi="Garamond"/>
          <w:i/>
          <w:iCs/>
          <w:sz w:val="24"/>
          <w:szCs w:val="24"/>
        </w:rPr>
        <w:t>Affirmative asylum interview scheduling</w:t>
      </w:r>
      <w:r w:rsidRPr="001A4474">
        <w:rPr>
          <w:rFonts w:ascii="Garamond" w:hAnsi="Garamond"/>
          <w:sz w:val="24"/>
          <w:szCs w:val="24"/>
        </w:rPr>
        <w:t>. </w:t>
      </w:r>
      <w:hyperlink r:id="rId34" w:tgtFrame="_new" w:history="1">
        <w:r w:rsidRPr="001A4474">
          <w:rPr>
            <w:rStyle w:val="Hyperlink"/>
            <w:rFonts w:ascii="Garamond" w:hAnsi="Garamond"/>
            <w:sz w:val="24"/>
            <w:szCs w:val="24"/>
          </w:rPr>
          <w:t>https://www.uscis.gov/humanitarian/refugees-and-asylum/asylum/affirmative-asylum-interview-scheduling</w:t>
        </w:r>
      </w:hyperlink>
    </w:p>
    <w:p w14:paraId="78BA5AE1" w14:textId="77777777" w:rsidR="001A4474" w:rsidRPr="001A4474" w:rsidRDefault="001A4474" w:rsidP="001A4474">
      <w:pPr>
        <w:spacing w:after="100"/>
        <w:ind w:left="720" w:hanging="720"/>
        <w:rPr>
          <w:rFonts w:ascii="Garamond" w:hAnsi="Garamond"/>
          <w:sz w:val="24"/>
          <w:szCs w:val="24"/>
        </w:rPr>
      </w:pPr>
      <w:r w:rsidRPr="001A4474">
        <w:rPr>
          <w:rFonts w:ascii="Garamond" w:hAnsi="Garamond"/>
          <w:sz w:val="24"/>
          <w:szCs w:val="24"/>
        </w:rPr>
        <w:lastRenderedPageBreak/>
        <w:t>U.S. Citizenship and Immigration Services. (2025a, October 17). </w:t>
      </w:r>
      <w:r w:rsidRPr="001A4474">
        <w:rPr>
          <w:rFonts w:ascii="Garamond" w:hAnsi="Garamond"/>
          <w:i/>
          <w:iCs/>
          <w:sz w:val="24"/>
          <w:szCs w:val="24"/>
        </w:rPr>
        <w:t>The affirmative asylum process</w:t>
      </w:r>
      <w:r w:rsidRPr="001A4474">
        <w:rPr>
          <w:rFonts w:ascii="Garamond" w:hAnsi="Garamond"/>
          <w:sz w:val="24"/>
          <w:szCs w:val="24"/>
        </w:rPr>
        <w:t>. </w:t>
      </w:r>
      <w:hyperlink r:id="rId35" w:tgtFrame="_new" w:history="1">
        <w:r w:rsidRPr="001A4474">
          <w:rPr>
            <w:rStyle w:val="Hyperlink"/>
            <w:rFonts w:ascii="Garamond" w:hAnsi="Garamond"/>
            <w:sz w:val="24"/>
            <w:szCs w:val="24"/>
          </w:rPr>
          <w:t>https://www.uscis.gov/humanitarian/refugees-and-asylum/asylum/the-affirmative-asylum-process</w:t>
        </w:r>
      </w:hyperlink>
    </w:p>
    <w:p w14:paraId="203D6F7D" w14:textId="77777777" w:rsidR="001A4474" w:rsidRPr="001A4474" w:rsidRDefault="001A4474" w:rsidP="001A4474">
      <w:pPr>
        <w:spacing w:after="100"/>
        <w:ind w:left="720" w:hanging="720"/>
        <w:rPr>
          <w:rFonts w:ascii="Garamond" w:hAnsi="Garamond"/>
          <w:sz w:val="24"/>
          <w:szCs w:val="24"/>
        </w:rPr>
      </w:pPr>
      <w:r w:rsidRPr="001A4474">
        <w:rPr>
          <w:rFonts w:ascii="Garamond" w:hAnsi="Garamond"/>
          <w:sz w:val="24"/>
          <w:szCs w:val="24"/>
        </w:rPr>
        <w:t>U.S. Citizenship and Immigration Services. (2025b, November 21). </w:t>
      </w:r>
      <w:r w:rsidRPr="001A4474">
        <w:rPr>
          <w:rFonts w:ascii="Garamond" w:hAnsi="Garamond"/>
          <w:i/>
          <w:iCs/>
          <w:sz w:val="24"/>
          <w:szCs w:val="24"/>
        </w:rPr>
        <w:t>Questions and answers: Affirmative asylum eligibility and applications</w:t>
      </w:r>
      <w:r w:rsidRPr="001A4474">
        <w:rPr>
          <w:rFonts w:ascii="Garamond" w:hAnsi="Garamond"/>
          <w:sz w:val="24"/>
          <w:szCs w:val="24"/>
        </w:rPr>
        <w:t>. </w:t>
      </w:r>
      <w:hyperlink r:id="rId36" w:tgtFrame="_new" w:history="1">
        <w:r w:rsidRPr="001A4474">
          <w:rPr>
            <w:rStyle w:val="Hyperlink"/>
            <w:rFonts w:ascii="Garamond" w:hAnsi="Garamond"/>
            <w:sz w:val="24"/>
            <w:szCs w:val="24"/>
          </w:rPr>
          <w:t>https://www.uscis.gov/humanitarian/refugees-and-asylum/asylum/affirmative-asylum-frequently-asked-questions/questions-and-answers-affirmative-asylum-eligibility-and-applications</w:t>
        </w:r>
      </w:hyperlink>
    </w:p>
    <w:p w14:paraId="6FEACABA" w14:textId="77777777" w:rsidR="001A4474" w:rsidRPr="001A4474" w:rsidRDefault="001A4474" w:rsidP="001A4474">
      <w:pPr>
        <w:spacing w:after="100"/>
        <w:ind w:left="720" w:hanging="720"/>
        <w:rPr>
          <w:rFonts w:ascii="Garamond" w:hAnsi="Garamond"/>
          <w:sz w:val="24"/>
          <w:szCs w:val="24"/>
        </w:rPr>
      </w:pPr>
      <w:r w:rsidRPr="001A4474">
        <w:rPr>
          <w:rFonts w:ascii="Garamond" w:hAnsi="Garamond"/>
          <w:sz w:val="24"/>
          <w:szCs w:val="24"/>
        </w:rPr>
        <w:t>Department of Homeland Security. (2026a, February 20). </w:t>
      </w:r>
      <w:r w:rsidRPr="001A4474">
        <w:rPr>
          <w:rFonts w:ascii="Garamond" w:hAnsi="Garamond"/>
          <w:i/>
          <w:iCs/>
          <w:sz w:val="24"/>
          <w:szCs w:val="24"/>
        </w:rPr>
        <w:t>DHS proposes rule to prioritize Americans’ safety by strengthening screening of asylum seekers</w:t>
      </w:r>
      <w:r w:rsidRPr="001A4474">
        <w:rPr>
          <w:rFonts w:ascii="Garamond" w:hAnsi="Garamond"/>
          <w:sz w:val="24"/>
          <w:szCs w:val="24"/>
        </w:rPr>
        <w:t>. </w:t>
      </w:r>
      <w:hyperlink r:id="rId37" w:tgtFrame="_new" w:history="1">
        <w:r w:rsidRPr="001A4474">
          <w:rPr>
            <w:rStyle w:val="Hyperlink"/>
            <w:rFonts w:ascii="Garamond" w:hAnsi="Garamond"/>
            <w:sz w:val="24"/>
            <w:szCs w:val="24"/>
          </w:rPr>
          <w:t>https://www.dhs.gov/news/2026/02/20/dhs-proposes-rule-prioritize-americans-safety-strengthening-screening-asylum</w:t>
        </w:r>
      </w:hyperlink>
    </w:p>
    <w:p w14:paraId="1D7023E1" w14:textId="77777777" w:rsidR="001A4474" w:rsidRPr="001A4474" w:rsidRDefault="001A4474" w:rsidP="001A4474">
      <w:pPr>
        <w:spacing w:after="100"/>
        <w:ind w:left="720" w:hanging="720"/>
        <w:rPr>
          <w:rFonts w:ascii="Garamond" w:hAnsi="Garamond"/>
          <w:sz w:val="24"/>
          <w:szCs w:val="24"/>
        </w:rPr>
      </w:pPr>
      <w:r w:rsidRPr="001A4474">
        <w:rPr>
          <w:rFonts w:ascii="Garamond" w:hAnsi="Garamond"/>
          <w:sz w:val="24"/>
          <w:szCs w:val="24"/>
        </w:rPr>
        <w:t>U.S. Committee for Refugees and Immigrants. (2021, June). </w:t>
      </w:r>
      <w:r w:rsidRPr="001A4474">
        <w:rPr>
          <w:rFonts w:ascii="Garamond" w:hAnsi="Garamond"/>
          <w:i/>
          <w:iCs/>
          <w:sz w:val="24"/>
          <w:szCs w:val="24"/>
        </w:rPr>
        <w:t>Trauma-informed case management with foreign national children and youth survivors of trafficking</w:t>
      </w:r>
      <w:r w:rsidRPr="001A4474">
        <w:rPr>
          <w:rFonts w:ascii="Garamond" w:hAnsi="Garamond"/>
          <w:sz w:val="24"/>
          <w:szCs w:val="24"/>
        </w:rPr>
        <w:t>. </w:t>
      </w:r>
      <w:hyperlink r:id="rId38" w:tgtFrame="_new" w:history="1">
        <w:r w:rsidRPr="001A4474">
          <w:rPr>
            <w:rStyle w:val="Hyperlink"/>
            <w:rFonts w:ascii="Garamond" w:hAnsi="Garamond"/>
            <w:sz w:val="24"/>
            <w:szCs w:val="24"/>
          </w:rPr>
          <w:t>https://refugees.org/wp-content/uploads/2021/06/Trauma-Informed-Care-Toolkit.pdf</w:t>
        </w:r>
      </w:hyperlink>
    </w:p>
    <w:p w14:paraId="721D2E33" w14:textId="77777777" w:rsidR="001A4474" w:rsidRPr="001A4474" w:rsidRDefault="001A4474" w:rsidP="001A4474">
      <w:pPr>
        <w:spacing w:after="100"/>
        <w:ind w:left="720" w:hanging="720"/>
        <w:rPr>
          <w:rFonts w:ascii="Garamond" w:hAnsi="Garamond"/>
          <w:sz w:val="24"/>
          <w:szCs w:val="24"/>
        </w:rPr>
      </w:pPr>
      <w:r w:rsidRPr="001A4474">
        <w:rPr>
          <w:rFonts w:ascii="Garamond" w:hAnsi="Garamond"/>
          <w:sz w:val="24"/>
          <w:szCs w:val="24"/>
        </w:rPr>
        <w:t>Department of Homeland Security. (2026b, February 23). Employment authorization reform for asylum applicants. </w:t>
      </w:r>
      <w:r w:rsidRPr="001A4474">
        <w:rPr>
          <w:rFonts w:ascii="Garamond" w:hAnsi="Garamond"/>
          <w:i/>
          <w:iCs/>
          <w:sz w:val="24"/>
          <w:szCs w:val="24"/>
        </w:rPr>
        <w:t>Federal Register, 91</w:t>
      </w:r>
      <w:r w:rsidRPr="001A4474">
        <w:rPr>
          <w:rFonts w:ascii="Garamond" w:hAnsi="Garamond"/>
          <w:sz w:val="24"/>
          <w:szCs w:val="24"/>
        </w:rPr>
        <w:t>, 8616–8700. </w:t>
      </w:r>
      <w:hyperlink r:id="rId39" w:tgtFrame="_new" w:history="1">
        <w:r w:rsidRPr="001A4474">
          <w:rPr>
            <w:rStyle w:val="Hyperlink"/>
            <w:rFonts w:ascii="Garamond" w:hAnsi="Garamond"/>
            <w:sz w:val="24"/>
            <w:szCs w:val="24"/>
          </w:rPr>
          <w:t>https://www.federalregister.gov/documents/2026/02/23/2026-03595/employment-authorization-reform-for-asylum-applicants</w:t>
        </w:r>
      </w:hyperlink>
    </w:p>
    <w:p w14:paraId="648254F5" w14:textId="77777777" w:rsidR="001A4474" w:rsidRPr="001A4474" w:rsidRDefault="001A4474" w:rsidP="001A4474">
      <w:pPr>
        <w:spacing w:after="100"/>
        <w:ind w:left="720" w:hanging="720"/>
        <w:rPr>
          <w:rFonts w:ascii="Garamond" w:hAnsi="Garamond"/>
          <w:sz w:val="24"/>
          <w:szCs w:val="24"/>
        </w:rPr>
      </w:pPr>
      <w:r w:rsidRPr="001A4474">
        <w:rPr>
          <w:rFonts w:ascii="Garamond" w:hAnsi="Garamond"/>
          <w:sz w:val="24"/>
          <w:szCs w:val="24"/>
        </w:rPr>
        <w:t xml:space="preserve">Lamonaca, S., Vanhoutte, K., </w:t>
      </w:r>
      <w:proofErr w:type="spellStart"/>
      <w:r w:rsidRPr="001A4474">
        <w:rPr>
          <w:rFonts w:ascii="Garamond" w:hAnsi="Garamond"/>
          <w:sz w:val="24"/>
          <w:szCs w:val="24"/>
        </w:rPr>
        <w:t>Linthout</w:t>
      </w:r>
      <w:proofErr w:type="spellEnd"/>
      <w:r w:rsidRPr="001A4474">
        <w:rPr>
          <w:rFonts w:ascii="Garamond" w:hAnsi="Garamond"/>
          <w:sz w:val="24"/>
          <w:szCs w:val="24"/>
        </w:rPr>
        <w:t xml:space="preserve">, L., De Schrijver, L., Clarke, V., Correia, R., &amp; </w:t>
      </w:r>
      <w:proofErr w:type="spellStart"/>
      <w:r w:rsidRPr="001A4474">
        <w:rPr>
          <w:rFonts w:ascii="Garamond" w:hAnsi="Garamond"/>
          <w:sz w:val="24"/>
          <w:szCs w:val="24"/>
        </w:rPr>
        <w:t>Keygnaert</w:t>
      </w:r>
      <w:proofErr w:type="spellEnd"/>
      <w:r w:rsidRPr="001A4474">
        <w:rPr>
          <w:rFonts w:ascii="Garamond" w:hAnsi="Garamond"/>
          <w:sz w:val="24"/>
          <w:szCs w:val="24"/>
        </w:rPr>
        <w:t>, I. (2021). </w:t>
      </w:r>
      <w:r w:rsidRPr="001A4474">
        <w:rPr>
          <w:rFonts w:ascii="Garamond" w:hAnsi="Garamond"/>
          <w:i/>
          <w:iCs/>
          <w:sz w:val="24"/>
          <w:szCs w:val="24"/>
        </w:rPr>
        <w:t>Good practice tool for police hearings with migrant, applicant for international protection, refugee (MAR), trafficked, and LGBT+ victims of sexual violence</w:t>
      </w:r>
      <w:r w:rsidRPr="001A4474">
        <w:rPr>
          <w:rFonts w:ascii="Garamond" w:hAnsi="Garamond"/>
          <w:sz w:val="24"/>
          <w:szCs w:val="24"/>
        </w:rPr>
        <w:t>. International Centre for Reproductive Health, Ghent University. </w:t>
      </w:r>
      <w:hyperlink r:id="rId40" w:tgtFrame="_new" w:history="1">
        <w:r w:rsidRPr="001A4474">
          <w:rPr>
            <w:rStyle w:val="Hyperlink"/>
            <w:rFonts w:ascii="Garamond" w:hAnsi="Garamond"/>
            <w:sz w:val="24"/>
            <w:szCs w:val="24"/>
          </w:rPr>
          <w:t>https://victim-support.eu/wp-content/files_mf/1631693747ICRH_Guidelines_ENG_Finaal.pdf</w:t>
        </w:r>
      </w:hyperlink>
    </w:p>
    <w:p w14:paraId="7702338F" w14:textId="77777777" w:rsidR="001A4474" w:rsidRPr="001A4474" w:rsidRDefault="001A4474" w:rsidP="001A4474">
      <w:pPr>
        <w:spacing w:after="100"/>
        <w:ind w:left="720" w:hanging="720"/>
        <w:rPr>
          <w:rFonts w:ascii="Garamond" w:hAnsi="Garamond"/>
          <w:sz w:val="24"/>
          <w:szCs w:val="24"/>
        </w:rPr>
      </w:pPr>
      <w:r w:rsidRPr="001A4474">
        <w:rPr>
          <w:rFonts w:ascii="Garamond" w:hAnsi="Garamond"/>
          <w:sz w:val="24"/>
          <w:szCs w:val="24"/>
        </w:rPr>
        <w:t>Webb, A. E., Gearing, R. E., &amp; Baker, H. W. (2022). Trauma-informed lawyering in the asylum process: Engagement and practice in immigration law. </w:t>
      </w:r>
      <w:r w:rsidRPr="001A4474">
        <w:rPr>
          <w:rFonts w:ascii="Garamond" w:hAnsi="Garamond"/>
          <w:i/>
          <w:iCs/>
          <w:sz w:val="24"/>
          <w:szCs w:val="24"/>
        </w:rPr>
        <w:t xml:space="preserve">Journal of Mental Health and Social </w:t>
      </w:r>
      <w:proofErr w:type="spellStart"/>
      <w:r w:rsidRPr="001A4474">
        <w:rPr>
          <w:rFonts w:ascii="Garamond" w:hAnsi="Garamond"/>
          <w:i/>
          <w:iCs/>
          <w:sz w:val="24"/>
          <w:szCs w:val="24"/>
        </w:rPr>
        <w:t>Behaviour</w:t>
      </w:r>
      <w:proofErr w:type="spellEnd"/>
      <w:r w:rsidRPr="001A4474">
        <w:rPr>
          <w:rFonts w:ascii="Garamond" w:hAnsi="Garamond"/>
          <w:i/>
          <w:iCs/>
          <w:sz w:val="24"/>
          <w:szCs w:val="24"/>
        </w:rPr>
        <w:t>, 4</w:t>
      </w:r>
      <w:r w:rsidRPr="001A4474">
        <w:rPr>
          <w:rFonts w:ascii="Garamond" w:hAnsi="Garamond"/>
          <w:sz w:val="24"/>
          <w:szCs w:val="24"/>
        </w:rPr>
        <w:t>(2), Article 171. </w:t>
      </w:r>
      <w:hyperlink r:id="rId41" w:tgtFrame="_new" w:history="1">
        <w:r w:rsidRPr="001A4474">
          <w:rPr>
            <w:rStyle w:val="Hyperlink"/>
            <w:rFonts w:ascii="Garamond" w:hAnsi="Garamond"/>
            <w:sz w:val="24"/>
            <w:szCs w:val="24"/>
          </w:rPr>
          <w:t>https://doi.org/10.33790/jmhsb1100171</w:t>
        </w:r>
      </w:hyperlink>
    </w:p>
    <w:p w14:paraId="2A80FF1E" w14:textId="77777777" w:rsidR="001A4474" w:rsidRPr="001A4474" w:rsidRDefault="001A4474" w:rsidP="001A4474">
      <w:pPr>
        <w:spacing w:after="100"/>
        <w:ind w:left="720" w:hanging="720"/>
        <w:rPr>
          <w:rFonts w:ascii="Garamond" w:hAnsi="Garamond"/>
          <w:sz w:val="24"/>
          <w:szCs w:val="24"/>
        </w:rPr>
      </w:pPr>
      <w:r w:rsidRPr="001A4474">
        <w:rPr>
          <w:rFonts w:ascii="Garamond" w:hAnsi="Garamond"/>
          <w:sz w:val="24"/>
          <w:szCs w:val="24"/>
        </w:rPr>
        <w:t>Yakushko, O., Watson, M., &amp; Thompson, S. (2008). Stress and coping in the lives of recent immigrants and refugees: Considerations for counseling. </w:t>
      </w:r>
      <w:r w:rsidRPr="001A4474">
        <w:rPr>
          <w:rFonts w:ascii="Garamond" w:hAnsi="Garamond"/>
          <w:i/>
          <w:iCs/>
          <w:sz w:val="24"/>
          <w:szCs w:val="24"/>
        </w:rPr>
        <w:t>International Journal for the Advancement of Counselling, 30</w:t>
      </w:r>
      <w:r w:rsidRPr="001A4474">
        <w:rPr>
          <w:rFonts w:ascii="Garamond" w:hAnsi="Garamond"/>
          <w:sz w:val="24"/>
          <w:szCs w:val="24"/>
        </w:rPr>
        <w:t>(3), 167–178. </w:t>
      </w:r>
      <w:hyperlink r:id="rId42" w:tgtFrame="_new" w:history="1">
        <w:r w:rsidRPr="001A4474">
          <w:rPr>
            <w:rStyle w:val="Hyperlink"/>
            <w:rFonts w:ascii="Garamond" w:hAnsi="Garamond"/>
            <w:sz w:val="24"/>
            <w:szCs w:val="24"/>
          </w:rPr>
          <w:t>https://doi.org/10.1007/s10447-008-9054-0</w:t>
        </w:r>
      </w:hyperlink>
    </w:p>
    <w:p w14:paraId="3C9EEFE9" w14:textId="31C7F9A4" w:rsidR="00E3316C" w:rsidRPr="00102618" w:rsidRDefault="00E3316C" w:rsidP="001A4474">
      <w:pPr>
        <w:spacing w:after="100"/>
        <w:ind w:left="720" w:hanging="720"/>
        <w:rPr>
          <w:rFonts w:ascii="Garamond" w:hAnsi="Garamond"/>
          <w:sz w:val="24"/>
          <w:szCs w:val="24"/>
        </w:rPr>
      </w:pPr>
    </w:p>
    <w:sectPr w:rsidR="00E3316C" w:rsidRPr="00102618">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ple Color Emoji">
    <w:panose1 w:val="00000000000000000000"/>
    <w:charset w:val="00"/>
    <w:family w:val="auto"/>
    <w:pitch w:val="variable"/>
    <w:sig w:usb0="00000003" w:usb1="18000000" w:usb2="14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A8423B"/>
    <w:multiLevelType w:val="hybridMultilevel"/>
    <w:tmpl w:val="0854E0AC"/>
    <w:lvl w:ilvl="0" w:tplc="E3D8531C">
      <w:start w:val="1"/>
      <w:numFmt w:val="bullet"/>
      <w:lvlText w:val="•"/>
      <w:lvlJc w:val="left"/>
      <w:pPr>
        <w:ind w:left="540" w:hanging="360"/>
      </w:pPr>
    </w:lvl>
    <w:lvl w:ilvl="1" w:tplc="C6A08BD6">
      <w:numFmt w:val="decimal"/>
      <w:lvlText w:val=""/>
      <w:lvlJc w:val="left"/>
    </w:lvl>
    <w:lvl w:ilvl="2" w:tplc="11484808">
      <w:numFmt w:val="decimal"/>
      <w:lvlText w:val=""/>
      <w:lvlJc w:val="left"/>
    </w:lvl>
    <w:lvl w:ilvl="3" w:tplc="DBF62DC4">
      <w:numFmt w:val="decimal"/>
      <w:lvlText w:val=""/>
      <w:lvlJc w:val="left"/>
    </w:lvl>
    <w:lvl w:ilvl="4" w:tplc="03CE3FB4">
      <w:numFmt w:val="decimal"/>
      <w:lvlText w:val=""/>
      <w:lvlJc w:val="left"/>
    </w:lvl>
    <w:lvl w:ilvl="5" w:tplc="5D9A3BB6">
      <w:numFmt w:val="decimal"/>
      <w:lvlText w:val=""/>
      <w:lvlJc w:val="left"/>
    </w:lvl>
    <w:lvl w:ilvl="6" w:tplc="16DEA4E2">
      <w:numFmt w:val="decimal"/>
      <w:lvlText w:val=""/>
      <w:lvlJc w:val="left"/>
    </w:lvl>
    <w:lvl w:ilvl="7" w:tplc="EA1CDC02">
      <w:numFmt w:val="decimal"/>
      <w:lvlText w:val=""/>
      <w:lvlJc w:val="left"/>
    </w:lvl>
    <w:lvl w:ilvl="8" w:tplc="EFEAAD5A">
      <w:numFmt w:val="decimal"/>
      <w:lvlText w:val=""/>
      <w:lvlJc w:val="left"/>
    </w:lvl>
  </w:abstractNum>
  <w:abstractNum w:abstractNumId="1" w15:restartNumberingAfterBreak="0">
    <w:nsid w:val="74412406"/>
    <w:multiLevelType w:val="hybridMultilevel"/>
    <w:tmpl w:val="727C8A9C"/>
    <w:lvl w:ilvl="0" w:tplc="2B0A8E9E">
      <w:start w:val="1"/>
      <w:numFmt w:val="bullet"/>
      <w:lvlText w:val="●"/>
      <w:lvlJc w:val="left"/>
      <w:pPr>
        <w:ind w:left="720" w:hanging="360"/>
      </w:pPr>
    </w:lvl>
    <w:lvl w:ilvl="1" w:tplc="E52438E4">
      <w:start w:val="1"/>
      <w:numFmt w:val="bullet"/>
      <w:lvlText w:val="○"/>
      <w:lvlJc w:val="left"/>
      <w:pPr>
        <w:ind w:left="1440" w:hanging="360"/>
      </w:pPr>
    </w:lvl>
    <w:lvl w:ilvl="2" w:tplc="EB163824">
      <w:start w:val="1"/>
      <w:numFmt w:val="bullet"/>
      <w:lvlText w:val="■"/>
      <w:lvlJc w:val="left"/>
      <w:pPr>
        <w:ind w:left="2160" w:hanging="360"/>
      </w:pPr>
    </w:lvl>
    <w:lvl w:ilvl="3" w:tplc="2DD830F4">
      <w:start w:val="1"/>
      <w:numFmt w:val="bullet"/>
      <w:lvlText w:val="●"/>
      <w:lvlJc w:val="left"/>
      <w:pPr>
        <w:ind w:left="2880" w:hanging="360"/>
      </w:pPr>
    </w:lvl>
    <w:lvl w:ilvl="4" w:tplc="51743934">
      <w:start w:val="1"/>
      <w:numFmt w:val="bullet"/>
      <w:lvlText w:val="○"/>
      <w:lvlJc w:val="left"/>
      <w:pPr>
        <w:ind w:left="3600" w:hanging="360"/>
      </w:pPr>
    </w:lvl>
    <w:lvl w:ilvl="5" w:tplc="F0BE6AD8">
      <w:start w:val="1"/>
      <w:numFmt w:val="bullet"/>
      <w:lvlText w:val="■"/>
      <w:lvlJc w:val="left"/>
      <w:pPr>
        <w:ind w:left="4320" w:hanging="360"/>
      </w:pPr>
    </w:lvl>
    <w:lvl w:ilvl="6" w:tplc="7550E682">
      <w:start w:val="1"/>
      <w:numFmt w:val="bullet"/>
      <w:lvlText w:val="●"/>
      <w:lvlJc w:val="left"/>
      <w:pPr>
        <w:ind w:left="5040" w:hanging="360"/>
      </w:pPr>
    </w:lvl>
    <w:lvl w:ilvl="7" w:tplc="A5BE1C6A">
      <w:start w:val="1"/>
      <w:numFmt w:val="bullet"/>
      <w:lvlText w:val="●"/>
      <w:lvlJc w:val="left"/>
      <w:pPr>
        <w:ind w:left="5760" w:hanging="360"/>
      </w:pPr>
    </w:lvl>
    <w:lvl w:ilvl="8" w:tplc="6A8C0B2E">
      <w:start w:val="1"/>
      <w:numFmt w:val="bullet"/>
      <w:lvlText w:val="●"/>
      <w:lvlJc w:val="left"/>
      <w:pPr>
        <w:ind w:left="6480" w:hanging="360"/>
      </w:pPr>
    </w:lvl>
  </w:abstractNum>
  <w:num w:numId="1" w16cid:durableId="2062435105">
    <w:abstractNumId w:val="1"/>
    <w:lvlOverride w:ilvl="0">
      <w:startOverride w:val="1"/>
    </w:lvlOverride>
  </w:num>
  <w:num w:numId="2" w16cid:durableId="2410620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5"/>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16C"/>
    <w:rsid w:val="000415A9"/>
    <w:rsid w:val="00102618"/>
    <w:rsid w:val="001201A6"/>
    <w:rsid w:val="001A4474"/>
    <w:rsid w:val="00366C0D"/>
    <w:rsid w:val="005C0007"/>
    <w:rsid w:val="005D3BD9"/>
    <w:rsid w:val="00B72171"/>
    <w:rsid w:val="00E3316C"/>
    <w:rsid w:val="00E374A3"/>
    <w:rsid w:val="00E40C5D"/>
    <w:rsid w:val="00F21B53"/>
    <w:rsid w:val="00FE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41C8E5"/>
  <w15:docId w15:val="{71E62ECC-792E-474B-8AA8-FA2ABBD21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180"/>
      <w:outlineLvl w:val="0"/>
    </w:pPr>
    <w:rPr>
      <w:b/>
      <w:bCs/>
      <w:color w:val="FFFFFF"/>
      <w:sz w:val="28"/>
      <w:szCs w:val="28"/>
    </w:rPr>
  </w:style>
  <w:style w:type="paragraph" w:styleId="Heading2">
    <w:name w:val="heading 2"/>
    <w:uiPriority w:val="9"/>
    <w:unhideWhenUsed/>
    <w:qFormat/>
    <w:pPr>
      <w:spacing w:before="360" w:after="120"/>
      <w:outlineLvl w:val="1"/>
    </w:pPr>
    <w:rPr>
      <w:b/>
      <w:bCs/>
      <w:color w:val="1F3864"/>
      <w:sz w:val="26"/>
      <w:szCs w:val="26"/>
    </w:rPr>
  </w:style>
  <w:style w:type="paragraph" w:styleId="Heading3">
    <w:name w:val="heading 3"/>
    <w:uiPriority w:val="9"/>
    <w:unhideWhenUsed/>
    <w:qFormat/>
    <w:pPr>
      <w:spacing w:before="240" w:after="80"/>
      <w:outlineLvl w:val="2"/>
    </w:pPr>
    <w:rPr>
      <w:b/>
      <w:bCs/>
      <w:color w:val="2E75B6"/>
    </w:rPr>
  </w:style>
  <w:style w:type="paragraph" w:styleId="Heading4">
    <w:name w:val="heading 4"/>
    <w:uiPriority w:val="9"/>
    <w:unhideWhenUsed/>
    <w:qFormat/>
    <w:pPr>
      <w:spacing w:before="180" w:after="60"/>
      <w:outlineLvl w:val="3"/>
    </w:pPr>
    <w:rPr>
      <w:b/>
      <w:bCs/>
      <w:color w:val="404040"/>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CIASCaption">
    <w:name w:val="CIAS Caption"/>
    <w:basedOn w:val="Normal"/>
    <w:rsid w:val="00FE3655"/>
    <w:pPr>
      <w:spacing w:before="40" w:after="160" w:line="269" w:lineRule="auto"/>
      <w:jc w:val="center"/>
    </w:pPr>
    <w:rPr>
      <w:rFonts w:ascii="Aptos" w:eastAsiaTheme="minorEastAsia" w:hAnsi="Aptos" w:cstheme="minorBidi"/>
      <w:i/>
      <w:color w:val="5A5A5A"/>
      <w:sz w:val="19"/>
    </w:rPr>
  </w:style>
  <w:style w:type="paragraph" w:styleId="NormalWeb">
    <w:name w:val="Normal (Web)"/>
    <w:basedOn w:val="Normal"/>
    <w:uiPriority w:val="99"/>
    <w:semiHidden/>
    <w:unhideWhenUsed/>
    <w:rsid w:val="001A4474"/>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1A4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111/j.1464-0597.1997.tb01087.x" TargetMode="External"/><Relationship Id="rId18" Type="http://schemas.openxmlformats.org/officeDocument/2006/relationships/hyperlink" Target="https://www.justice.gov/eoir/media/1344851/dl?inline=" TargetMode="External"/><Relationship Id="rId26" Type="http://schemas.openxmlformats.org/officeDocument/2006/relationships/hyperlink" Target="https://doi.org/10.3390/children6080094" TargetMode="External"/><Relationship Id="rId39" Type="http://schemas.openxmlformats.org/officeDocument/2006/relationships/hyperlink" Target="https://www.federalregister.gov/documents/2026/02/23/2026-03595/employment-authorization-reform-for-asylum-applicants" TargetMode="External"/><Relationship Id="rId21" Type="http://schemas.openxmlformats.org/officeDocument/2006/relationships/hyperlink" Target="https://doi.org/10.3402/ejpt.v6.27380" TargetMode="External"/><Relationship Id="rId34" Type="http://schemas.openxmlformats.org/officeDocument/2006/relationships/hyperlink" Target="https://www.uscis.gov/humanitarian/refugees-and-asylum/asylum/affirmative-asylum-interview-scheduling" TargetMode="External"/><Relationship Id="rId42" Type="http://schemas.openxmlformats.org/officeDocument/2006/relationships/hyperlink" Target="https://doi.org/10.1007/s10447-008-9054-0" TargetMode="Externa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www.refworld.org/sites/default/files/attachments/60cacb9e4.pdf" TargetMode="External"/><Relationship Id="rId20" Type="http://schemas.openxmlformats.org/officeDocument/2006/relationships/hyperlink" Target="https://doi.org/10.1136/bmj.324.7333.324" TargetMode="External"/><Relationship Id="rId29" Type="http://schemas.openxmlformats.org/officeDocument/2006/relationships/hyperlink" Target="https://doi.org/10.3389/fpsyg.2023.1240822" TargetMode="External"/><Relationship Id="rId41" Type="http://schemas.openxmlformats.org/officeDocument/2006/relationships/hyperlink" Target="https://doi.org/10.33790/jmhsb1100171"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asylumaccess.org/wp-content/uploads/2023/03/Asylum-Access-Refugee-Rights-Toolkit-March-2020.pdf" TargetMode="External"/><Relationship Id="rId24" Type="http://schemas.openxmlformats.org/officeDocument/2006/relationships/hyperlink" Target="https://doi.org/10.1037/0096-3445.129.3.361" TargetMode="External"/><Relationship Id="rId32" Type="http://schemas.openxmlformats.org/officeDocument/2006/relationships/hyperlink" Target="https://www.refworld.org/reference/regionalreport/unhcr/2013/en/104283" TargetMode="External"/><Relationship Id="rId37" Type="http://schemas.openxmlformats.org/officeDocument/2006/relationships/hyperlink" Target="https://www.dhs.gov/news/2026/02/20/dhs-proposes-rule-prioritize-americans-safety-strengthening-screening-asylum" TargetMode="External"/><Relationship Id="rId40" Type="http://schemas.openxmlformats.org/officeDocument/2006/relationships/hyperlink" Target="https://victim-support.eu/wp-content/files_mf/1631693747ICRH_Guidelines_ENG_Finaal.pdf" TargetMode="External"/><Relationship Id="rId5" Type="http://schemas.openxmlformats.org/officeDocument/2006/relationships/image" Target="media/image1.png"/><Relationship Id="rId15" Type="http://schemas.openxmlformats.org/officeDocument/2006/relationships/hyperlink" Target="https://doi.org/10.1192/bjp.bp.106.030262" TargetMode="External"/><Relationship Id="rId23" Type="http://schemas.openxmlformats.org/officeDocument/2006/relationships/hyperlink" Target="https://doi.org/10.3389/fpsyt.2021.658700" TargetMode="External"/><Relationship Id="rId28" Type="http://schemas.openxmlformats.org/officeDocument/2006/relationships/hyperlink" Target="https://doi.org/10.1093/jrs/feae054" TargetMode="External"/><Relationship Id="rId36" Type="http://schemas.openxmlformats.org/officeDocument/2006/relationships/hyperlink" Target="https://www.uscis.gov/humanitarian/refugees-and-asylum/asylum/affirmative-asylum-frequently-asked-questions/questions-and-answers-affirmative-asylum-eligibility-and-applications" TargetMode="External"/><Relationship Id="rId10" Type="http://schemas.openxmlformats.org/officeDocument/2006/relationships/hyperlink" Target="https://doi.org/10.36646/mjlr.48.4.access" TargetMode="External"/><Relationship Id="rId19" Type="http://schemas.openxmlformats.org/officeDocument/2006/relationships/hyperlink" Target="https://www.justice.gov/jmd/media/1434716/dl?inline=" TargetMode="External"/><Relationship Id="rId31" Type="http://schemas.openxmlformats.org/officeDocument/2006/relationships/hyperlink" Target="https://store.samhsa.gov/product/SAMHSA-s-Concept-of-Trauma-and-Guidance-for-a-Trauma-Informed-Approach/SMA14-4884"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esources.humanrightsfirst.org/wp-content/uploads/2022/07/ABA-HIAS-Asylum-Toolkit-February-2022.pdf" TargetMode="External"/><Relationship Id="rId14" Type="http://schemas.openxmlformats.org/officeDocument/2006/relationships/hyperlink" Target="https://doi.org/10.1093/bmb/ldh007" TargetMode="External"/><Relationship Id="rId22" Type="http://schemas.openxmlformats.org/officeDocument/2006/relationships/hyperlink" Target="https://doi.org/10.3390/bs11110155" TargetMode="External"/><Relationship Id="rId27" Type="http://schemas.openxmlformats.org/officeDocument/2006/relationships/hyperlink" Target="https://doi.org/10.18060/21282" TargetMode="External"/><Relationship Id="rId30" Type="http://schemas.openxmlformats.org/officeDocument/2006/relationships/hyperlink" Target="https://doi.org/10.1371/journal.pone.0247033" TargetMode="External"/><Relationship Id="rId35" Type="http://schemas.openxmlformats.org/officeDocument/2006/relationships/hyperlink" Target="https://www.uscis.gov/humanitarian/refugees-and-asylum/asylum/the-affirmative-asylum-process" TargetMode="External"/><Relationship Id="rId43" Type="http://schemas.openxmlformats.org/officeDocument/2006/relationships/fontTable" Target="fontTable.xml"/><Relationship Id="rId8"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hyperlink" Target="https://doi.org/10.1080/13557858.2018.1469733" TargetMode="External"/><Relationship Id="rId17" Type="http://schemas.openxmlformats.org/officeDocument/2006/relationships/hyperlink" Target="https://www.euaa.europa.eu/publications/practical-guide-evidence-and-risk-assessment" TargetMode="External"/><Relationship Id="rId25" Type="http://schemas.openxmlformats.org/officeDocument/2006/relationships/hyperlink" Target="https://doi.org/10.1177/23315024251339779" TargetMode="External"/><Relationship Id="rId33" Type="http://schemas.openxmlformats.org/officeDocument/2006/relationships/hyperlink" Target="https://doi.org/10.1111/j.1939-0025.2010.01067.x" TargetMode="External"/><Relationship Id="rId38" Type="http://schemas.openxmlformats.org/officeDocument/2006/relationships/hyperlink" Target="https://refugees.org/wp-content/uploads/2021/06/Trauma-Informed-Care-Toolki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63</Pages>
  <Words>15640</Words>
  <Characters>94467</Characters>
  <Application>Microsoft Office Word</Application>
  <DocSecurity>0</DocSecurity>
  <Lines>2862</Lines>
  <Paragraphs>1265</Paragraphs>
  <ScaleCrop>false</ScaleCrop>
  <Company/>
  <LinksUpToDate>false</LinksUpToDate>
  <CharactersWithSpaces>108842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Bekteshi, Venera</cp:lastModifiedBy>
  <cp:revision>5</cp:revision>
  <dcterms:created xsi:type="dcterms:W3CDTF">2026-04-08T15:30:00Z</dcterms:created>
  <dcterms:modified xsi:type="dcterms:W3CDTF">2026-04-10T03:26:00Z</dcterms:modified>
</cp:coreProperties>
</file>